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jc w:val="center"/>
        <w:rPr>
          <w:rFonts w:hint="default"/>
          <w:sz w:val="27"/>
          <w:szCs w:val="27"/>
          <w:shd w:val="clear" w:color="auto" w:fill="FFFF00"/>
        </w:rPr>
      </w:pPr>
      <w:r>
        <w:rPr>
          <w:rFonts w:ascii="方正小标宋_GBK" w:hAnsi="方正小标宋_GBK" w:eastAsia="方正小标宋_GBK" w:cs="方正小标宋_GBK"/>
          <w:sz w:val="36"/>
          <w:szCs w:val="36"/>
        </w:rPr>
        <w:t>重庆市长寿区救助管理站</w:t>
      </w:r>
      <w:r>
        <w:rPr>
          <w:rFonts w:ascii="方正小标宋_GBK" w:hAnsi="方正小标宋_GBK" w:eastAsia="方正小标宋_GBK" w:cs="方正小标宋_GBK"/>
          <w:sz w:val="36"/>
          <w:szCs w:val="36"/>
          <w:shd w:val="clear" w:color="auto" w:fill="FFFFFF"/>
        </w:rPr>
        <w:t>2023年度决算公开说明</w:t>
      </w:r>
    </w:p>
    <w:p>
      <w:pPr>
        <w:pStyle w:val="5"/>
        <w:shd w:val="clear" w:color="auto" w:fill="FFFFFF"/>
        <w:rPr>
          <w:rFonts w:hint="default" w:ascii="黑体" w:hAnsi="黑体" w:eastAsia="黑体" w:cs="黑体"/>
          <w:sz w:val="32"/>
          <w:szCs w:val="32"/>
        </w:rPr>
      </w:pPr>
      <w:r>
        <w:rPr>
          <w:rStyle w:val="9"/>
          <w:rFonts w:ascii="黑体" w:hAnsi="黑体" w:eastAsia="黑体" w:cs="黑体"/>
          <w:sz w:val="32"/>
          <w:szCs w:val="32"/>
          <w:shd w:val="clear" w:color="auto" w:fill="FFFFFF"/>
        </w:rPr>
        <w:t>一、部门基本情况</w:t>
      </w:r>
    </w:p>
    <w:p>
      <w:pPr>
        <w:pStyle w:val="5"/>
        <w:shd w:val="clear" w:color="auto" w:fill="FFFFFF"/>
        <w:ind w:firstLine="420"/>
        <w:rPr>
          <w:rFonts w:hint="default" w:ascii="方正仿宋_GBK" w:hAnsi="方正仿宋_GBK" w:eastAsia="方正仿宋_GBK" w:cs="方正仿宋_GBK"/>
          <w:sz w:val="32"/>
          <w:szCs w:val="32"/>
        </w:rPr>
      </w:pPr>
      <w:r>
        <w:rPr>
          <w:rStyle w:val="9"/>
          <w:rFonts w:ascii="楷体" w:hAnsi="楷体" w:eastAsia="楷体" w:cs="楷体"/>
          <w:sz w:val="32"/>
          <w:szCs w:val="32"/>
          <w:shd w:val="clear" w:color="auto" w:fill="FFFFFF"/>
        </w:rPr>
        <w:t>（一）职能职责</w:t>
      </w:r>
    </w:p>
    <w:p>
      <w:pPr>
        <w:pStyle w:val="5"/>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color w:val="auto"/>
          <w:sz w:val="32"/>
          <w:szCs w:val="32"/>
          <w:shd w:val="clear" w:color="auto" w:fill="FFFFFF"/>
          <w:lang w:eastAsia="zh-CN"/>
        </w:rPr>
        <w:t>本单位</w:t>
      </w:r>
      <w:r>
        <w:rPr>
          <w:rFonts w:ascii="方正仿宋_GBK" w:hAnsi="方正仿宋_GBK" w:eastAsia="方正仿宋_GBK" w:cs="方正仿宋_GBK"/>
          <w:color w:val="auto"/>
          <w:sz w:val="32"/>
          <w:szCs w:val="32"/>
          <w:shd w:val="clear" w:color="auto" w:fill="FFFFFF"/>
        </w:rPr>
        <w:t>主要职能职责包括负责全区生活无着的流浪、乞讨人员的救助和管理工作，主要是对生活无着的流浪、乞讨人员提供临时食宿、急病救治、协助返回等救助，以及未成年人救助和教育矫治等工作，拟设家暴庇护中心、灾害应急避难场所</w:t>
      </w:r>
      <w:r>
        <w:rPr>
          <w:rFonts w:hint="eastAsia" w:ascii="方正仿宋_GBK" w:hAnsi="方正仿宋_GBK" w:eastAsia="方正仿宋_GBK" w:cs="方正仿宋_GBK"/>
          <w:color w:val="auto"/>
          <w:sz w:val="32"/>
          <w:szCs w:val="32"/>
          <w:shd w:val="clear" w:color="auto" w:fill="FFFFFF"/>
          <w:lang w:eastAsia="zh-CN"/>
        </w:rPr>
        <w:t>。</w:t>
      </w:r>
    </w:p>
    <w:p>
      <w:pPr>
        <w:pStyle w:val="5"/>
        <w:shd w:val="clear" w:color="auto" w:fill="FFFFFF"/>
        <w:ind w:firstLine="420"/>
        <w:rPr>
          <w:rFonts w:hint="default" w:ascii="楷体" w:hAnsi="楷体" w:eastAsia="楷体" w:cs="楷体"/>
          <w:sz w:val="32"/>
          <w:szCs w:val="32"/>
        </w:rPr>
      </w:pPr>
      <w:r>
        <w:rPr>
          <w:rStyle w:val="9"/>
          <w:rFonts w:ascii="楷体" w:hAnsi="楷体" w:eastAsia="楷体" w:cs="楷体"/>
          <w:sz w:val="32"/>
          <w:szCs w:val="32"/>
          <w:shd w:val="clear" w:color="auto" w:fill="FFFFFF"/>
        </w:rPr>
        <w:t>（二）机构设置</w:t>
      </w:r>
    </w:p>
    <w:p>
      <w:pPr>
        <w:pStyle w:val="5"/>
        <w:shd w:val="clear" w:color="auto" w:fill="FFFFFF"/>
        <w:rPr>
          <w:rFonts w:hint="default" w:ascii="方正仿宋_GBK" w:hAnsi="方正仿宋_GBK" w:eastAsia="方正仿宋_GBK" w:cs="方正仿宋_GBK"/>
          <w:sz w:val="32"/>
          <w:szCs w:val="32"/>
        </w:rPr>
      </w:pPr>
      <w:r>
        <w:rPr>
          <w:rFonts w:ascii="方正仿宋_GBK" w:hAnsi="方正仿宋_GBK" w:eastAsia="方正仿宋_GBK" w:cs="方正仿宋_GBK"/>
          <w:color w:val="auto"/>
          <w:sz w:val="32"/>
          <w:szCs w:val="32"/>
          <w:shd w:val="clear" w:color="auto" w:fill="FFFFFF"/>
        </w:rPr>
        <w:t>本单位是长寿区民政局下属参照公务员法管理事业单位</w:t>
      </w:r>
      <w:r>
        <w:rPr>
          <w:rFonts w:hint="eastAsia" w:ascii="方正仿宋_GBK" w:hAnsi="方正仿宋_GBK" w:eastAsia="方正仿宋_GBK" w:cs="方正仿宋_GBK"/>
          <w:color w:val="auto"/>
          <w:sz w:val="32"/>
          <w:szCs w:val="32"/>
          <w:shd w:val="clear" w:color="auto" w:fill="FFFFFF"/>
          <w:lang w:eastAsia="zh-CN"/>
        </w:rPr>
        <w:t>，无下属管理单位，无内设机构，编制8人，现有职工</w:t>
      </w:r>
      <w:r>
        <w:rPr>
          <w:rFonts w:hint="eastAsia" w:ascii="方正仿宋_GBK" w:hAnsi="方正仿宋_GBK" w:eastAsia="方正仿宋_GBK" w:cs="方正仿宋_GBK"/>
          <w:color w:val="auto"/>
          <w:sz w:val="32"/>
          <w:szCs w:val="32"/>
          <w:shd w:val="clear" w:color="auto" w:fill="FFFFFF"/>
          <w:lang w:val="en-US" w:eastAsia="zh-CN"/>
        </w:rPr>
        <w:t>6</w:t>
      </w:r>
      <w:r>
        <w:rPr>
          <w:rFonts w:hint="eastAsia" w:ascii="方正仿宋_GBK" w:hAnsi="方正仿宋_GBK" w:eastAsia="方正仿宋_GBK" w:cs="方正仿宋_GBK"/>
          <w:color w:val="auto"/>
          <w:sz w:val="32"/>
          <w:szCs w:val="32"/>
          <w:shd w:val="clear" w:color="auto" w:fill="FFFFFF"/>
          <w:lang w:eastAsia="zh-CN"/>
        </w:rPr>
        <w:t>人。</w:t>
      </w:r>
    </w:p>
    <w:p>
      <w:pPr>
        <w:pStyle w:val="5"/>
        <w:shd w:val="clear" w:color="auto" w:fill="FFFFFF"/>
        <w:rPr>
          <w:rStyle w:val="9"/>
          <w:rFonts w:hint="default" w:ascii="黑体" w:hAnsi="黑体" w:eastAsia="黑体" w:cs="黑体"/>
          <w:sz w:val="32"/>
          <w:szCs w:val="32"/>
          <w:shd w:val="clear" w:color="auto" w:fill="FFFFFF"/>
        </w:rPr>
      </w:pPr>
      <w:r>
        <w:rPr>
          <w:rStyle w:val="9"/>
          <w:rFonts w:ascii="黑体" w:hAnsi="黑体" w:eastAsia="黑体" w:cs="黑体"/>
          <w:sz w:val="32"/>
          <w:szCs w:val="32"/>
          <w:shd w:val="clear" w:color="auto" w:fill="FFFFFF"/>
        </w:rPr>
        <w:t>二、部门决算情况说明</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（一）收入支出决算总体情况说明。</w:t>
      </w:r>
    </w:p>
    <w:p>
      <w:pPr>
        <w:pStyle w:val="5"/>
        <w:shd w:val="clear" w:color="auto" w:fill="FFFFFF"/>
        <w:ind w:firstLine="643" w:firstLineChars="200"/>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1.总体情况。</w:t>
      </w:r>
      <w:r>
        <w:rPr>
          <w:rFonts w:ascii="方正仿宋_GBK" w:hAnsi="方正仿宋_GBK" w:eastAsia="方正仿宋_GBK" w:cs="方正仿宋_GBK"/>
          <w:sz w:val="32"/>
          <w:szCs w:val="32"/>
          <w:shd w:val="clear" w:color="auto" w:fill="FFFFFF"/>
        </w:rPr>
        <w:t>2023年度收入总计298.01万元，支出总计</w:t>
      </w:r>
      <w:r>
        <w:rPr>
          <w:rFonts w:ascii="方正仿宋_GBK" w:hAnsi="方正仿宋_GBK" w:eastAsia="方正仿宋_GBK" w:cs="方正仿宋_GBK"/>
          <w:sz w:val="32"/>
          <w:szCs w:val="32"/>
        </w:rPr>
        <w:t>298.01</w:t>
      </w:r>
      <w:r>
        <w:rPr>
          <w:rFonts w:ascii="方正仿宋_GBK" w:hAnsi="方正仿宋_GBK" w:eastAsia="方正仿宋_GBK" w:cs="方正仿宋_GBK"/>
          <w:sz w:val="32"/>
          <w:szCs w:val="32"/>
          <w:shd w:val="clear" w:color="auto" w:fill="FFFFFF"/>
        </w:rPr>
        <w:t>万元。收支较上年决算数增加9.62万元，增长3.34%，主要原因是</w:t>
      </w:r>
      <w:r>
        <w:rPr>
          <w:rFonts w:hint="eastAsia" w:ascii="方正仿宋_GBK" w:hAnsi="方正仿宋_GBK" w:eastAsia="方正仿宋_GBK" w:cs="方正仿宋_GBK"/>
          <w:sz w:val="32"/>
          <w:szCs w:val="32"/>
          <w:shd w:val="clear" w:color="auto" w:fill="FFFFFF"/>
          <w:lang w:eastAsia="zh-CN"/>
        </w:rPr>
        <w:t>增加了项目支出以及新增死亡人员的一次性死亡抚恤。</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9"/>
          <w:rFonts w:ascii="方正仿宋_GBK" w:hAnsi="方正仿宋_GBK" w:eastAsia="方正仿宋_GBK" w:cs="方正仿宋_GBK"/>
          <w:sz w:val="32"/>
          <w:szCs w:val="32"/>
          <w:shd w:val="clear" w:color="auto" w:fill="FFFFFF"/>
        </w:rPr>
        <w:t>2.收入情况。</w:t>
      </w:r>
      <w:r>
        <w:rPr>
          <w:rFonts w:ascii="方正仿宋_GBK" w:hAnsi="方正仿宋_GBK" w:eastAsia="方正仿宋_GBK" w:cs="方正仿宋_GBK"/>
          <w:sz w:val="32"/>
          <w:szCs w:val="32"/>
          <w:shd w:val="clear" w:color="auto" w:fill="FFFFFF"/>
        </w:rPr>
        <w:t>2023年度收入合计298.01万元，较上年决算数增加30.94万元，增长11.58%，主要原因是</w:t>
      </w:r>
      <w:r>
        <w:rPr>
          <w:rFonts w:hint="eastAsia" w:ascii="方正仿宋_GBK" w:hAnsi="方正仿宋_GBK" w:eastAsia="方正仿宋_GBK" w:cs="方正仿宋_GBK"/>
          <w:sz w:val="32"/>
          <w:szCs w:val="32"/>
          <w:shd w:val="clear" w:color="auto" w:fill="FFFFFF"/>
          <w:lang w:eastAsia="zh-CN"/>
        </w:rPr>
        <w:t>正常的增资调资。</w:t>
      </w:r>
      <w:r>
        <w:rPr>
          <w:rFonts w:ascii="方正仿宋_GBK" w:hAnsi="方正仿宋_GBK" w:eastAsia="方正仿宋_GBK" w:cs="方正仿宋_GBK"/>
          <w:sz w:val="32"/>
          <w:szCs w:val="32"/>
          <w:shd w:val="clear" w:color="auto" w:fill="FFFFFF"/>
        </w:rPr>
        <w:t>其中：财政拨款收入</w:t>
      </w:r>
      <w:r>
        <w:rPr>
          <w:rFonts w:ascii="方正仿宋_GBK" w:hAnsi="方正仿宋_GBK" w:eastAsia="方正仿宋_GBK" w:cs="方正仿宋_GBK"/>
          <w:sz w:val="32"/>
          <w:szCs w:val="32"/>
        </w:rPr>
        <w:t>298.01</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100.00</w:t>
      </w:r>
      <w:r>
        <w:rPr>
          <w:rFonts w:ascii="方正仿宋_GBK" w:hAnsi="方正仿宋_GBK" w:eastAsia="方正仿宋_GBK" w:cs="方正仿宋_GBK"/>
          <w:sz w:val="32"/>
          <w:szCs w:val="32"/>
          <w:shd w:val="clear" w:color="auto" w:fill="FFFFFF"/>
        </w:rPr>
        <w:t>%；事业收入</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万元，占0.00%；经营收入</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万元，占0.00%；其他收入</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万元，占0.00%。此外，使用非财政拨款结余和专用结余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万元，年初结转和结余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shd w:val="clear" w:color="auto" w:fill="FFFFFF"/>
        </w:rPr>
      </w:pPr>
      <w:r>
        <w:rPr>
          <w:rStyle w:val="9"/>
          <w:rFonts w:ascii="方正仿宋_GBK" w:hAnsi="方正仿宋_GBK" w:eastAsia="方正仿宋_GBK" w:cs="方正仿宋_GBK"/>
          <w:sz w:val="32"/>
          <w:szCs w:val="32"/>
          <w:shd w:val="clear" w:color="auto" w:fill="FFFFFF"/>
        </w:rPr>
        <w:t>3.支出情况。</w:t>
      </w:r>
      <w:r>
        <w:rPr>
          <w:rFonts w:ascii="方正仿宋_GBK" w:hAnsi="方正仿宋_GBK" w:eastAsia="方正仿宋_GBK" w:cs="方正仿宋_GBK"/>
          <w:sz w:val="32"/>
          <w:szCs w:val="32"/>
          <w:shd w:val="clear" w:color="auto" w:fill="FFFFFF"/>
        </w:rPr>
        <w:t>2023年度支出合计</w:t>
      </w:r>
      <w:r>
        <w:rPr>
          <w:rFonts w:ascii="方正仿宋_GBK" w:hAnsi="方正仿宋_GBK" w:eastAsia="方正仿宋_GBK" w:cs="方正仿宋_GBK"/>
          <w:sz w:val="32"/>
          <w:szCs w:val="32"/>
        </w:rPr>
        <w:t>298.01</w:t>
      </w:r>
      <w:r>
        <w:rPr>
          <w:rFonts w:ascii="方正仿宋_GBK" w:hAnsi="方正仿宋_GBK" w:eastAsia="方正仿宋_GBK" w:cs="方正仿宋_GBK"/>
          <w:sz w:val="32"/>
          <w:szCs w:val="32"/>
          <w:shd w:val="clear" w:color="auto" w:fill="FFFFFF"/>
        </w:rPr>
        <w:t>万元，较上年决算数增加13.96万元，增长4.91%，主要原因是</w:t>
      </w:r>
      <w:r>
        <w:rPr>
          <w:rFonts w:hint="eastAsia" w:ascii="方正仿宋_GBK" w:hAnsi="方正仿宋_GBK" w:eastAsia="方正仿宋_GBK" w:cs="方正仿宋_GBK"/>
          <w:sz w:val="32"/>
          <w:szCs w:val="32"/>
          <w:highlight w:val="none"/>
          <w:shd w:val="clear" w:color="auto" w:fill="FFFFFF"/>
          <w:lang w:eastAsia="zh-CN"/>
        </w:rPr>
        <w:t>项目费用增加。</w:t>
      </w:r>
      <w:r>
        <w:rPr>
          <w:rFonts w:ascii="方正仿宋_GBK" w:hAnsi="方正仿宋_GBK" w:eastAsia="方正仿宋_GBK" w:cs="方正仿宋_GBK"/>
          <w:sz w:val="32"/>
          <w:szCs w:val="32"/>
          <w:shd w:val="clear" w:color="auto" w:fill="FFFFFF"/>
        </w:rPr>
        <w:t>其中：基本支出</w:t>
      </w:r>
      <w:r>
        <w:rPr>
          <w:rFonts w:ascii="方正仿宋_GBK" w:hAnsi="方正仿宋_GBK" w:eastAsia="方正仿宋_GBK" w:cs="方正仿宋_GBK"/>
          <w:sz w:val="32"/>
          <w:szCs w:val="32"/>
        </w:rPr>
        <w:t>203.72</w:t>
      </w:r>
      <w:r>
        <w:rPr>
          <w:rFonts w:ascii="方正仿宋_GBK" w:hAnsi="方正仿宋_GBK" w:eastAsia="方正仿宋_GBK" w:cs="方正仿宋_GBK"/>
          <w:sz w:val="32"/>
          <w:szCs w:val="32"/>
          <w:shd w:val="clear" w:color="auto" w:fill="FFFFFF"/>
        </w:rPr>
        <w:t>万元，占68.36%；项目支出</w:t>
      </w:r>
      <w:r>
        <w:rPr>
          <w:rFonts w:ascii="方正仿宋_GBK" w:hAnsi="方正仿宋_GBK" w:eastAsia="方正仿宋_GBK" w:cs="方正仿宋_GBK"/>
          <w:sz w:val="32"/>
          <w:szCs w:val="32"/>
        </w:rPr>
        <w:t>94.30</w:t>
      </w:r>
      <w:r>
        <w:rPr>
          <w:rFonts w:ascii="方正仿宋_GBK" w:hAnsi="方正仿宋_GBK" w:eastAsia="方正仿宋_GBK" w:cs="方正仿宋_GBK"/>
          <w:sz w:val="32"/>
          <w:szCs w:val="32"/>
          <w:shd w:val="clear" w:color="auto" w:fill="FFFFFF"/>
        </w:rPr>
        <w:t>万元，占31.64%；经营支出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万元，占0.00%。此外，结余分配</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4.结转结余情况。</w:t>
      </w:r>
      <w:r>
        <w:rPr>
          <w:rFonts w:ascii="方正仿宋_GBK" w:hAnsi="方正仿宋_GBK" w:eastAsia="方正仿宋_GBK" w:cs="方正仿宋_GBK"/>
          <w:sz w:val="32"/>
          <w:szCs w:val="32"/>
          <w:shd w:val="clear" w:color="auto" w:fill="FFFFFF"/>
        </w:rPr>
        <w:t>2023年度年末结转和结余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万元，较上年决算数减少4.35万元，下降100.00%，主要原因是</w:t>
      </w:r>
      <w:r>
        <w:rPr>
          <w:rFonts w:hint="eastAsia" w:ascii="方正仿宋_GBK" w:hAnsi="方正仿宋_GBK" w:eastAsia="方正仿宋_GBK" w:cs="方正仿宋_GBK"/>
          <w:sz w:val="32"/>
          <w:szCs w:val="32"/>
          <w:shd w:val="clear" w:color="auto" w:fill="FFFFFF"/>
          <w:lang w:eastAsia="zh-CN"/>
        </w:rPr>
        <w:t>本年度单位实行零余额结转。</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（二）财政拨款收入支出决算总体情况说明</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2023年度财政拨款收、支总计298.01万元。与2022年相比，财政拨款收、支总计各增加9.62万元，增长3.34%。主要原因是</w:t>
      </w:r>
      <w:r>
        <w:rPr>
          <w:rFonts w:hint="eastAsia" w:ascii="方正仿宋_GBK" w:hAnsi="方正仿宋_GBK" w:eastAsia="方正仿宋_GBK" w:cs="方正仿宋_GBK"/>
          <w:sz w:val="32"/>
          <w:szCs w:val="32"/>
          <w:shd w:val="clear" w:color="auto" w:fill="FFFFFF"/>
          <w:lang w:eastAsia="zh-CN"/>
        </w:rPr>
        <w:t>增加了项目支出以及一名人员的一次性死亡抚恤。</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（三）一般公共预算财政拨款收入支出决算情况说明</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highlight w:val="none"/>
        </w:rPr>
      </w:pPr>
      <w:r>
        <w:rPr>
          <w:rStyle w:val="9"/>
          <w:rFonts w:ascii="方正仿宋_GBK" w:hAnsi="方正仿宋_GBK" w:eastAsia="方正仿宋_GBK" w:cs="方正仿宋_GBK"/>
          <w:sz w:val="32"/>
          <w:szCs w:val="32"/>
          <w:highlight w:val="none"/>
          <w:shd w:val="clear" w:color="auto" w:fill="FFFFFF"/>
        </w:rPr>
        <w:t>1.收入情况。</w:t>
      </w:r>
      <w:r>
        <w:rPr>
          <w:rFonts w:ascii="方正仿宋_GBK" w:hAnsi="方正仿宋_GBK" w:eastAsia="方正仿宋_GBK" w:cs="方正仿宋_GBK"/>
          <w:sz w:val="32"/>
          <w:szCs w:val="32"/>
          <w:highlight w:val="none"/>
          <w:shd w:val="clear" w:color="auto" w:fill="FFFFFF"/>
        </w:rPr>
        <w:t>2023年度一般公共预算财政拨款收入</w:t>
      </w:r>
      <w:r>
        <w:rPr>
          <w:rFonts w:ascii="方正仿宋_GBK" w:hAnsi="方正仿宋_GBK" w:eastAsia="方正仿宋_GBK" w:cs="方正仿宋_GBK"/>
          <w:sz w:val="32"/>
          <w:szCs w:val="32"/>
          <w:highlight w:val="none"/>
        </w:rPr>
        <w:t>298.01</w:t>
      </w:r>
      <w:r>
        <w:rPr>
          <w:rFonts w:ascii="方正仿宋_GBK" w:hAnsi="方正仿宋_GBK" w:eastAsia="方正仿宋_GBK" w:cs="方正仿宋_GBK"/>
          <w:sz w:val="32"/>
          <w:szCs w:val="32"/>
          <w:highlight w:val="none"/>
          <w:shd w:val="clear" w:color="auto" w:fill="FFFFFF"/>
        </w:rPr>
        <w:t>万元，较上年决算数增加30.94万元，增长11.58%。主要原因是</w:t>
      </w:r>
      <w:r>
        <w:rPr>
          <w:rFonts w:hint="eastAsia" w:ascii="方正仿宋_GBK" w:hAnsi="方正仿宋_GBK" w:eastAsia="方正仿宋_GBK" w:cs="方正仿宋_GBK"/>
          <w:sz w:val="32"/>
          <w:szCs w:val="32"/>
          <w:highlight w:val="none"/>
          <w:shd w:val="clear" w:color="auto" w:fill="FFFFFF"/>
          <w:lang w:eastAsia="zh-CN"/>
        </w:rPr>
        <w:t>增资调资。</w:t>
      </w:r>
      <w:r>
        <w:rPr>
          <w:rFonts w:ascii="方正仿宋_GBK" w:hAnsi="方正仿宋_GBK" w:eastAsia="方正仿宋_GBK" w:cs="方正仿宋_GBK"/>
          <w:sz w:val="32"/>
          <w:szCs w:val="32"/>
          <w:highlight w:val="none"/>
          <w:shd w:val="clear" w:color="auto" w:fill="FFFFFF"/>
        </w:rPr>
        <w:t>较年初预算数增加16.67万元，增长5.93%。主要原因是</w:t>
      </w:r>
      <w:r>
        <w:rPr>
          <w:rFonts w:hint="eastAsia" w:ascii="方正仿宋_GBK" w:hAnsi="方正仿宋_GBK" w:eastAsia="方正仿宋_GBK" w:cs="方正仿宋_GBK"/>
          <w:sz w:val="32"/>
          <w:szCs w:val="32"/>
          <w:highlight w:val="none"/>
          <w:shd w:val="clear" w:color="auto" w:fill="FFFFFF"/>
          <w:lang w:eastAsia="zh-CN"/>
        </w:rPr>
        <w:t>年底安排用于项目的专项费用增加，</w:t>
      </w:r>
      <w:r>
        <w:rPr>
          <w:rFonts w:ascii="方正仿宋_GBK" w:hAnsi="方正仿宋_GBK" w:eastAsia="方正仿宋_GBK" w:cs="方正仿宋_GBK"/>
          <w:sz w:val="32"/>
          <w:szCs w:val="32"/>
          <w:highlight w:val="none"/>
          <w:shd w:val="clear" w:color="auto" w:fill="FFFFFF"/>
        </w:rPr>
        <w:t>此外，年初财政拨款结转和结余</w:t>
      </w:r>
      <w:r>
        <w:rPr>
          <w:rFonts w:ascii="方正仿宋_GBK" w:hAnsi="方正仿宋_GBK" w:eastAsia="方正仿宋_GBK" w:cs="方正仿宋_GBK"/>
          <w:sz w:val="32"/>
          <w:szCs w:val="32"/>
          <w:highlight w:val="none"/>
        </w:rPr>
        <w:t>0.00</w:t>
      </w:r>
      <w:r>
        <w:rPr>
          <w:rFonts w:ascii="方正仿宋_GBK" w:hAnsi="方正仿宋_GBK" w:eastAsia="方正仿宋_GBK" w:cs="方正仿宋_GBK"/>
          <w:sz w:val="32"/>
          <w:szCs w:val="32"/>
          <w:highlight w:val="none"/>
          <w:shd w:val="clear" w:color="auto" w:fill="FFFFFF"/>
        </w:rPr>
        <w:t>万元。</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highlight w:val="none"/>
          <w:shd w:val="clear" w:color="auto" w:fill="FFFFFF"/>
        </w:rPr>
        <w:t>2.支出情况。</w:t>
      </w:r>
      <w:r>
        <w:rPr>
          <w:rFonts w:ascii="方正仿宋_GBK" w:hAnsi="方正仿宋_GBK" w:eastAsia="方正仿宋_GBK" w:cs="方正仿宋_GBK"/>
          <w:sz w:val="32"/>
          <w:szCs w:val="32"/>
          <w:highlight w:val="none"/>
          <w:shd w:val="clear" w:color="auto" w:fill="FFFFFF"/>
        </w:rPr>
        <w:t>2023年度一般公共预算财政拨款支出</w:t>
      </w:r>
      <w:r>
        <w:rPr>
          <w:rFonts w:ascii="方正仿宋_GBK" w:hAnsi="方正仿宋_GBK" w:eastAsia="方正仿宋_GBK" w:cs="方正仿宋_GBK"/>
          <w:sz w:val="32"/>
          <w:szCs w:val="32"/>
          <w:highlight w:val="none"/>
        </w:rPr>
        <w:t>298.01</w:t>
      </w:r>
      <w:r>
        <w:rPr>
          <w:rFonts w:ascii="方正仿宋_GBK" w:hAnsi="方正仿宋_GBK" w:eastAsia="方正仿宋_GBK" w:cs="方正仿宋_GBK"/>
          <w:sz w:val="32"/>
          <w:szCs w:val="32"/>
          <w:highlight w:val="none"/>
          <w:shd w:val="clear" w:color="auto" w:fill="FFFFFF"/>
        </w:rPr>
        <w:t>万元，较上年决算数增加13.96万元，增长4.91%。主要原因</w:t>
      </w:r>
      <w:r>
        <w:rPr>
          <w:rFonts w:hint="eastAsia" w:ascii="方正仿宋_GBK" w:hAnsi="方正仿宋_GBK" w:eastAsia="方正仿宋_GBK" w:cs="方正仿宋_GBK"/>
          <w:sz w:val="32"/>
          <w:szCs w:val="32"/>
          <w:highlight w:val="none"/>
          <w:shd w:val="clear" w:color="auto" w:fill="FFFFFF"/>
          <w:lang w:eastAsia="zh-CN"/>
        </w:rPr>
        <w:t>增加</w:t>
      </w:r>
      <w:r>
        <w:rPr>
          <w:rFonts w:ascii="方正仿宋_GBK" w:hAnsi="方正仿宋_GBK" w:eastAsia="方正仿宋_GBK" w:cs="方正仿宋_GBK"/>
          <w:sz w:val="32"/>
          <w:szCs w:val="32"/>
          <w:highlight w:val="none"/>
          <w:shd w:val="clear" w:color="auto" w:fill="FFFFFF"/>
        </w:rPr>
        <w:t>是项目</w:t>
      </w:r>
      <w:r>
        <w:rPr>
          <w:rFonts w:hint="eastAsia" w:ascii="方正仿宋_GBK" w:hAnsi="方正仿宋_GBK" w:eastAsia="方正仿宋_GBK" w:cs="方正仿宋_GBK"/>
          <w:sz w:val="32"/>
          <w:szCs w:val="32"/>
          <w:highlight w:val="none"/>
          <w:shd w:val="clear" w:color="auto" w:fill="FFFFFF"/>
          <w:lang w:eastAsia="zh-CN"/>
        </w:rPr>
        <w:t>费用支出，</w:t>
      </w:r>
      <w:r>
        <w:rPr>
          <w:rFonts w:ascii="方正仿宋_GBK" w:hAnsi="方正仿宋_GBK" w:eastAsia="方正仿宋_GBK" w:cs="方正仿宋_GBK"/>
          <w:sz w:val="32"/>
          <w:szCs w:val="32"/>
          <w:highlight w:val="none"/>
          <w:shd w:val="clear" w:color="auto" w:fill="FFFFFF"/>
        </w:rPr>
        <w:t>较年初预算数增加16.67万元，增长5.93%。主要原因是</w:t>
      </w:r>
      <w:r>
        <w:rPr>
          <w:rFonts w:hint="eastAsia" w:ascii="方正仿宋_GBK" w:hAnsi="方正仿宋_GBK" w:eastAsia="方正仿宋_GBK" w:cs="方正仿宋_GBK"/>
          <w:sz w:val="32"/>
          <w:szCs w:val="32"/>
          <w:highlight w:val="none"/>
          <w:shd w:val="clear" w:color="auto" w:fill="FFFFFF"/>
          <w:lang w:eastAsia="zh-CN"/>
        </w:rPr>
        <w:t>增加项目费用支出。</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3.结转结余情况。</w:t>
      </w:r>
      <w:r>
        <w:rPr>
          <w:rFonts w:ascii="方正仿宋_GBK" w:hAnsi="方正仿宋_GBK" w:eastAsia="方正仿宋_GBK" w:cs="方正仿宋_GBK"/>
          <w:sz w:val="32"/>
          <w:szCs w:val="32"/>
          <w:shd w:val="clear" w:color="auto" w:fill="FFFFFF"/>
        </w:rPr>
        <w:t>2023年度年末一般公共预算财政拨款结转和结余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万元，较上年决算数减少4.35万元，下降100.00%，主要原因是</w:t>
      </w:r>
      <w:r>
        <w:rPr>
          <w:rFonts w:hint="eastAsia" w:ascii="方正仿宋_GBK" w:hAnsi="方正仿宋_GBK" w:eastAsia="方正仿宋_GBK" w:cs="方正仿宋_GBK"/>
          <w:sz w:val="32"/>
          <w:szCs w:val="32"/>
          <w:shd w:val="clear" w:color="auto" w:fill="FFFFFF"/>
          <w:lang w:eastAsia="zh-CN"/>
        </w:rPr>
        <w:t>本年度单位实行零余额结转。</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color w:val="FF0000"/>
          <w:sz w:val="32"/>
          <w:szCs w:val="32"/>
          <w:highlight w:val="cyan"/>
          <w:shd w:val="clear" w:color="auto" w:fill="FFFFFF"/>
        </w:rPr>
      </w:pPr>
      <w:r>
        <w:rPr>
          <w:rStyle w:val="9"/>
          <w:rFonts w:ascii="方正仿宋_GBK" w:hAnsi="方正仿宋_GBK" w:eastAsia="方正仿宋_GBK" w:cs="方正仿宋_GBK"/>
          <w:sz w:val="32"/>
          <w:szCs w:val="32"/>
          <w:shd w:val="clear" w:color="auto" w:fill="FFFFFF"/>
        </w:rPr>
        <w:t xml:space="preserve"> 4.比较情况。</w:t>
      </w:r>
      <w:r>
        <w:rPr>
          <w:rFonts w:ascii="方正仿宋_GBK" w:hAnsi="方正仿宋_GBK" w:eastAsia="方正仿宋_GBK" w:cs="方正仿宋_GBK"/>
          <w:sz w:val="32"/>
          <w:szCs w:val="32"/>
          <w:shd w:val="clear" w:color="auto" w:fill="FFFFFF"/>
        </w:rPr>
        <w:t>本部门2023年度一般公共预算财政拨款支出主要用于以下几个方面：</w:t>
      </w:r>
    </w:p>
    <w:p>
      <w:pPr>
        <w:pStyle w:val="5"/>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（1）教育支出</w:t>
      </w:r>
      <w:r>
        <w:rPr>
          <w:rFonts w:ascii="方正仿宋_GBK" w:hAnsi="方正仿宋_GBK" w:eastAsia="方正仿宋_GBK" w:cs="方正仿宋_GBK"/>
          <w:sz w:val="32"/>
          <w:szCs w:val="32"/>
        </w:rPr>
        <w:t>0.93</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0.31</w:t>
      </w:r>
      <w:r>
        <w:rPr>
          <w:rFonts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）社会保障与就业支出</w:t>
      </w:r>
      <w:r>
        <w:rPr>
          <w:rFonts w:ascii="方正仿宋_GBK" w:hAnsi="方正仿宋_GBK" w:eastAsia="方正仿宋_GBK" w:cs="方正仿宋_GBK"/>
          <w:sz w:val="32"/>
          <w:szCs w:val="32"/>
        </w:rPr>
        <w:t>273.70</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91.84</w:t>
      </w:r>
      <w:r>
        <w:rPr>
          <w:rFonts w:ascii="方正仿宋_GBK" w:hAnsi="方正仿宋_GBK" w:eastAsia="方正仿宋_GBK" w:cs="方正仿宋_GBK"/>
          <w:sz w:val="32"/>
          <w:szCs w:val="32"/>
          <w:shd w:val="clear" w:color="auto" w:fill="FFFFFF"/>
        </w:rPr>
        <w:t>%，较年初预算数</w:t>
      </w:r>
      <w:r>
        <w:rPr>
          <w:rFonts w:ascii="方正仿宋_GBK" w:hAnsi="方正仿宋_GBK" w:eastAsia="方正仿宋_GBK" w:cs="方正仿宋_GBK"/>
          <w:sz w:val="32"/>
          <w:szCs w:val="32"/>
          <w:highlight w:val="none"/>
          <w:shd w:val="clear" w:color="auto" w:fill="FFFFFF"/>
        </w:rPr>
        <w:t>增加19.78万元，增长7.79%，主要原因是</w:t>
      </w:r>
      <w:r>
        <w:rPr>
          <w:rFonts w:hint="eastAsia" w:ascii="方正仿宋_GBK" w:hAnsi="方正仿宋_GBK" w:eastAsia="方正仿宋_GBK" w:cs="方正仿宋_GBK"/>
          <w:sz w:val="32"/>
          <w:szCs w:val="32"/>
          <w:highlight w:val="none"/>
          <w:shd w:val="clear" w:color="auto" w:fill="FFFFFF"/>
          <w:lang w:eastAsia="zh-CN"/>
        </w:rPr>
        <w:t>增加项目支出。</w:t>
      </w:r>
    </w:p>
    <w:p>
      <w:pPr>
        <w:pStyle w:val="5"/>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highlight w:val="none"/>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ascii="方正仿宋_GBK" w:hAnsi="方正仿宋_GBK" w:eastAsia="方正仿宋_GBK" w:cs="方正仿宋_GBK"/>
          <w:sz w:val="32"/>
          <w:szCs w:val="32"/>
          <w:shd w:val="clear" w:color="auto" w:fill="FFFFFF"/>
        </w:rPr>
        <w:t>）卫生健康支出</w:t>
      </w:r>
      <w:r>
        <w:rPr>
          <w:rFonts w:ascii="方正仿宋_GBK" w:hAnsi="方正仿宋_GBK" w:eastAsia="方正仿宋_GBK" w:cs="方正仿宋_GBK"/>
          <w:sz w:val="32"/>
          <w:szCs w:val="32"/>
        </w:rPr>
        <w:t>11.70</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3.93</w:t>
      </w:r>
      <w:r>
        <w:rPr>
          <w:rFonts w:ascii="方正仿宋_GBK" w:hAnsi="方正仿宋_GBK" w:eastAsia="方正仿宋_GBK" w:cs="方正仿宋_GBK"/>
          <w:sz w:val="32"/>
          <w:szCs w:val="32"/>
          <w:shd w:val="clear" w:color="auto" w:fill="FFFFFF"/>
        </w:rPr>
        <w:t>%，较年初预算数减少1.12万元，下降8.74%，主要原因是</w:t>
      </w:r>
      <w:r>
        <w:rPr>
          <w:rFonts w:hint="eastAsia" w:ascii="方正仿宋_GBK" w:hAnsi="方正仿宋_GBK" w:eastAsia="方正仿宋_GBK" w:cs="方正仿宋_GBK"/>
          <w:sz w:val="32"/>
          <w:szCs w:val="32"/>
          <w:shd w:val="clear" w:color="auto" w:fill="FFFFFF"/>
          <w:lang w:eastAsia="zh-CN"/>
        </w:rPr>
        <w:t>减资部分</w:t>
      </w:r>
      <w:r>
        <w:rPr>
          <w:rFonts w:hint="eastAsia" w:ascii="方正仿宋_GBK" w:hAnsi="方正仿宋_GBK" w:eastAsia="方正仿宋_GBK" w:cs="方正仿宋_GBK"/>
          <w:sz w:val="32"/>
          <w:szCs w:val="32"/>
          <w:highlight w:val="none"/>
          <w:shd w:val="clear" w:color="auto" w:fill="FFFFFF"/>
          <w:lang w:eastAsia="zh-CN"/>
        </w:rPr>
        <w:t>减少卫生健康支出。</w:t>
      </w:r>
    </w:p>
    <w:p>
      <w:pPr>
        <w:ind w:firstLine="640" w:firstLineChars="200"/>
        <w:rPr>
          <w:rFonts w:hint="eastAsia" w:ascii="方正仿宋_GBK" w:hAnsi="方正仿宋_GBK" w:eastAsia="方正仿宋_GBK" w:cs="方正仿宋_GBK"/>
          <w:color w:val="FF0000"/>
          <w:sz w:val="32"/>
          <w:szCs w:val="32"/>
          <w:highlight w:val="none"/>
          <w:shd w:val="clear" w:color="auto" w:fill="FFFFFF"/>
          <w:lang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w:t>
      </w:r>
      <w:r>
        <w:rPr>
          <w:rFonts w:ascii="方正仿宋_GBK" w:hAnsi="方正仿宋_GBK" w:eastAsia="方正仿宋_GBK" w:cs="方正仿宋_GBK"/>
          <w:sz w:val="32"/>
          <w:szCs w:val="32"/>
        </w:rPr>
        <w:t>住房保障支出11.68</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3.92</w:t>
      </w:r>
      <w:r>
        <w:rPr>
          <w:rFonts w:ascii="方正仿宋_GBK" w:hAnsi="方正仿宋_GBK" w:eastAsia="方正仿宋_GBK" w:cs="方正仿宋_GBK"/>
          <w:sz w:val="32"/>
          <w:szCs w:val="32"/>
          <w:shd w:val="clear" w:color="auto" w:fill="FFFFFF"/>
        </w:rPr>
        <w:t>%，较年初预算数减少2.00万元，下降14.62%，主要原因是</w:t>
      </w:r>
      <w:r>
        <w:rPr>
          <w:rFonts w:hint="eastAsia" w:ascii="方正仿宋_GBK" w:hAnsi="方正仿宋_GBK" w:eastAsia="方正仿宋_GBK" w:cs="方正仿宋_GBK"/>
          <w:sz w:val="32"/>
          <w:szCs w:val="32"/>
          <w:highlight w:val="none"/>
          <w:shd w:val="clear" w:color="auto" w:fill="FFFFFF"/>
          <w:lang w:eastAsia="zh-CN"/>
        </w:rPr>
        <w:t>减</w:t>
      </w:r>
      <w:r>
        <w:rPr>
          <w:rFonts w:ascii="方正仿宋_GBK" w:hAnsi="方正仿宋_GBK" w:eastAsia="方正仿宋_GBK" w:cs="方正仿宋_GBK"/>
          <w:sz w:val="32"/>
          <w:szCs w:val="32"/>
          <w:highlight w:val="none"/>
          <w:shd w:val="clear" w:color="auto" w:fill="FFFFFF"/>
        </w:rPr>
        <w:t>资部分</w:t>
      </w:r>
      <w:r>
        <w:rPr>
          <w:rFonts w:hint="eastAsia" w:ascii="方正仿宋_GBK" w:hAnsi="方正仿宋_GBK" w:eastAsia="方正仿宋_GBK" w:cs="方正仿宋_GBK"/>
          <w:sz w:val="32"/>
          <w:szCs w:val="32"/>
          <w:highlight w:val="none"/>
          <w:shd w:val="clear" w:color="auto" w:fill="FFFFFF"/>
          <w:lang w:eastAsia="zh-CN"/>
        </w:rPr>
        <w:t>减少</w:t>
      </w:r>
      <w:r>
        <w:rPr>
          <w:rFonts w:ascii="方正仿宋_GBK" w:hAnsi="方正仿宋_GBK" w:eastAsia="方正仿宋_GBK" w:cs="方正仿宋_GBK"/>
          <w:sz w:val="32"/>
          <w:szCs w:val="32"/>
          <w:highlight w:val="none"/>
          <w:shd w:val="clear" w:color="auto" w:fill="FFFFFF"/>
        </w:rPr>
        <w:t>住房保障支出</w:t>
      </w:r>
      <w:r>
        <w:rPr>
          <w:rFonts w:hint="eastAsia" w:ascii="方正仿宋_GBK" w:hAnsi="方正仿宋_GBK" w:eastAsia="方正仿宋_GBK" w:cs="方正仿宋_GBK"/>
          <w:sz w:val="32"/>
          <w:szCs w:val="32"/>
          <w:highlight w:val="none"/>
          <w:shd w:val="clear" w:color="auto" w:fill="FFFFFF"/>
          <w:lang w:eastAsia="zh-CN"/>
        </w:rPr>
        <w:t>。</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（四）一般公共预算财政拨款基本支出决算情况说明</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2023年度一般公共财政拨款基本支出</w:t>
      </w:r>
      <w:r>
        <w:rPr>
          <w:rFonts w:ascii="方正仿宋_GBK" w:hAnsi="方正仿宋_GBK" w:eastAsia="方正仿宋_GBK" w:cs="方正仿宋_GBK"/>
          <w:sz w:val="32"/>
          <w:szCs w:val="32"/>
        </w:rPr>
        <w:t>203.72</w:t>
      </w:r>
      <w:r>
        <w:rPr>
          <w:rFonts w:ascii="方正仿宋_GBK" w:hAnsi="方正仿宋_GBK" w:eastAsia="方正仿宋_GBK" w:cs="方正仿宋_GBK"/>
          <w:sz w:val="32"/>
          <w:szCs w:val="32"/>
          <w:shd w:val="clear" w:color="auto" w:fill="FFFFFF"/>
        </w:rPr>
        <w:t>万元。其中：人员经费</w:t>
      </w:r>
      <w:r>
        <w:rPr>
          <w:rFonts w:ascii="方正仿宋_GBK" w:hAnsi="方正仿宋_GBK" w:eastAsia="方正仿宋_GBK" w:cs="方正仿宋_GBK"/>
          <w:sz w:val="32"/>
          <w:szCs w:val="32"/>
        </w:rPr>
        <w:t>174.44</w:t>
      </w:r>
      <w:r>
        <w:rPr>
          <w:rFonts w:ascii="方正仿宋_GBK" w:hAnsi="方正仿宋_GBK" w:eastAsia="方正仿宋_GBK" w:cs="方正仿宋_GBK"/>
          <w:sz w:val="32"/>
          <w:szCs w:val="32"/>
          <w:shd w:val="clear" w:color="auto" w:fill="FFFFFF"/>
        </w:rPr>
        <w:t>万元，较上年决算数减少29.78万元，下降14.58%，主要原因是</w:t>
      </w:r>
      <w:r>
        <w:rPr>
          <w:rFonts w:hint="eastAsia" w:ascii="方正仿宋_GBK" w:hAnsi="方正仿宋_GBK" w:eastAsia="方正仿宋_GBK" w:cs="方正仿宋_GBK"/>
          <w:sz w:val="32"/>
          <w:szCs w:val="32"/>
          <w:shd w:val="clear" w:color="auto" w:fill="FFFFFF"/>
          <w:lang w:val="en-US" w:eastAsia="zh-CN"/>
        </w:rPr>
        <w:t>人员减少，</w:t>
      </w:r>
      <w:r>
        <w:rPr>
          <w:rFonts w:hint="eastAsia" w:ascii="方正仿宋_GBK" w:hAnsi="方正仿宋_GBK" w:eastAsia="方正仿宋_GBK" w:cs="方正仿宋_GBK"/>
          <w:sz w:val="32"/>
          <w:szCs w:val="32"/>
          <w:shd w:val="clear" w:color="auto" w:fill="FFFFFF"/>
          <w:lang w:eastAsia="zh-CN"/>
        </w:rPr>
        <w:t>工资福利支出减少。</w:t>
      </w:r>
      <w:r>
        <w:rPr>
          <w:rFonts w:ascii="方正仿宋_GBK" w:hAnsi="方正仿宋_GBK" w:eastAsia="方正仿宋_GBK" w:cs="方正仿宋_GBK"/>
          <w:sz w:val="32"/>
          <w:szCs w:val="32"/>
          <w:shd w:val="clear" w:color="auto" w:fill="FFFFFF"/>
        </w:rPr>
        <w:t>人员经费用途主要</w:t>
      </w:r>
      <w:r>
        <w:rPr>
          <w:rFonts w:ascii="方正仿宋_GBK" w:hAnsi="方正仿宋_GBK" w:eastAsia="方正仿宋_GBK" w:cs="方正仿宋_GBK"/>
          <w:sz w:val="32"/>
          <w:szCs w:val="32"/>
          <w:highlight w:val="none"/>
          <w:shd w:val="clear" w:color="auto" w:fill="FFFFFF"/>
        </w:rPr>
        <w:t>包括</w:t>
      </w:r>
      <w:r>
        <w:rPr>
          <w:rFonts w:hint="eastAsia" w:ascii="方正仿宋_GBK" w:hAnsi="方正仿宋_GBK" w:eastAsia="方正仿宋_GBK" w:cs="方正仿宋_GBK"/>
          <w:sz w:val="32"/>
          <w:szCs w:val="32"/>
          <w:highlight w:val="none"/>
          <w:shd w:val="clear" w:color="auto" w:fill="FFFFFF"/>
          <w:lang w:eastAsia="zh-CN"/>
        </w:rPr>
        <w:t>基本工资、规范性津贴补贴、年终一次性奖金等。</w:t>
      </w:r>
      <w:r>
        <w:rPr>
          <w:rFonts w:ascii="方正仿宋_GBK" w:hAnsi="方正仿宋_GBK" w:eastAsia="方正仿宋_GBK" w:cs="方正仿宋_GBK"/>
          <w:sz w:val="32"/>
          <w:szCs w:val="32"/>
          <w:shd w:val="clear" w:color="auto" w:fill="FFFFFF"/>
        </w:rPr>
        <w:t>公用经费</w:t>
      </w:r>
      <w:r>
        <w:rPr>
          <w:rFonts w:ascii="方正仿宋_GBK" w:hAnsi="方正仿宋_GBK" w:eastAsia="方正仿宋_GBK" w:cs="方正仿宋_GBK"/>
          <w:sz w:val="32"/>
          <w:szCs w:val="32"/>
        </w:rPr>
        <w:t>29.27</w:t>
      </w:r>
      <w:r>
        <w:rPr>
          <w:rFonts w:ascii="方正仿宋_GBK" w:hAnsi="方正仿宋_GBK" w:eastAsia="方正仿宋_GBK" w:cs="方正仿宋_GBK"/>
          <w:sz w:val="32"/>
          <w:szCs w:val="32"/>
          <w:shd w:val="clear" w:color="auto" w:fill="FFFFFF"/>
        </w:rPr>
        <w:t>万元，较上年决算数增加6.84万元，增长30.49%，主要原因是</w:t>
      </w:r>
      <w:r>
        <w:rPr>
          <w:rFonts w:hint="eastAsia" w:ascii="方正仿宋_GBK" w:hAnsi="方正仿宋_GBK" w:eastAsia="方正仿宋_GBK" w:cs="方正仿宋_GBK"/>
          <w:sz w:val="32"/>
          <w:szCs w:val="32"/>
          <w:shd w:val="clear" w:color="auto" w:fill="FFFFFF"/>
          <w:lang w:eastAsia="zh-CN"/>
        </w:rPr>
        <w:t>工会统一到局里面，经费增加。</w:t>
      </w:r>
      <w:r>
        <w:rPr>
          <w:rFonts w:ascii="方正仿宋_GBK" w:hAnsi="方正仿宋_GBK" w:eastAsia="方正仿宋_GBK" w:cs="方正仿宋_GBK"/>
          <w:sz w:val="32"/>
          <w:szCs w:val="32"/>
          <w:shd w:val="clear" w:color="auto" w:fill="FFFFFF"/>
        </w:rPr>
        <w:t>公用经费用途</w:t>
      </w:r>
      <w:r>
        <w:rPr>
          <w:rFonts w:ascii="方正仿宋_GBK" w:hAnsi="方正仿宋_GBK" w:eastAsia="方正仿宋_GBK" w:cs="方正仿宋_GBK"/>
          <w:sz w:val="32"/>
          <w:szCs w:val="32"/>
          <w:highlight w:val="none"/>
          <w:shd w:val="clear" w:color="auto" w:fill="FFFFFF"/>
        </w:rPr>
        <w:t>主要包括</w:t>
      </w:r>
      <w:r>
        <w:rPr>
          <w:rFonts w:hint="eastAsia" w:ascii="方正仿宋_GBK" w:hAnsi="方正仿宋_GBK" w:eastAsia="方正仿宋_GBK" w:cs="方正仿宋_GBK"/>
          <w:sz w:val="32"/>
          <w:szCs w:val="32"/>
          <w:highlight w:val="none"/>
          <w:shd w:val="clear" w:color="auto" w:fill="FFFFFF"/>
          <w:lang w:eastAsia="zh-CN"/>
        </w:rPr>
        <w:t>办公费、邮电费、其他交通费用和工会经费等。</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（五）政府性基金预算收支决算情况说明</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2023年度政府性基金预算财政拨款年初结转结余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万元，年末结转结余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万元。本年收入</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本年支出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。本部门</w:t>
      </w:r>
      <w:r>
        <w:rPr>
          <w:rFonts w:hint="eastAsia" w:ascii="方正仿宋_GBK" w:hAnsi="方正仿宋_GBK" w:eastAsia="方正仿宋_GBK" w:cs="方正仿宋_GBK"/>
          <w:sz w:val="32"/>
          <w:szCs w:val="32"/>
          <w:shd w:val="clear" w:color="auto" w:fill="FFFFFF"/>
          <w:lang w:val="en-US" w:eastAsia="zh-CN"/>
        </w:rPr>
        <w:t>2023年度无政府性基金预算财政拨款收支。</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（六）国有资本经营预算财政拨款支出决算情况说明</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2023年度国有资本经营预算财政拨本年支出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万元，基本支出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万元，项目支出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。本部门</w:t>
      </w:r>
      <w:r>
        <w:rPr>
          <w:rFonts w:hint="eastAsia" w:ascii="方正仿宋_GBK" w:hAnsi="方正仿宋_GBK" w:eastAsia="方正仿宋_GBK" w:cs="方正仿宋_GBK"/>
          <w:sz w:val="32"/>
          <w:szCs w:val="32"/>
          <w:shd w:val="clear" w:color="auto" w:fill="FFFFFF"/>
          <w:lang w:val="en-US" w:eastAsia="zh-CN"/>
        </w:rPr>
        <w:t>2023年度无国有资本经营预算财政拨款收支。</w:t>
      </w:r>
    </w:p>
    <w:p>
      <w:pPr>
        <w:pStyle w:val="5"/>
        <w:shd w:val="clear" w:color="auto" w:fill="FFFFFF"/>
        <w:rPr>
          <w:rStyle w:val="9"/>
          <w:rFonts w:hint="default" w:ascii="黑体" w:hAnsi="黑体" w:eastAsia="黑体" w:cs="黑体"/>
          <w:sz w:val="32"/>
          <w:szCs w:val="32"/>
          <w:shd w:val="clear" w:color="auto" w:fill="FFFFFF"/>
        </w:rPr>
      </w:pPr>
      <w:r>
        <w:rPr>
          <w:rStyle w:val="9"/>
          <w:rFonts w:ascii="黑体" w:hAnsi="黑体" w:eastAsia="黑体" w:cs="黑体"/>
          <w:sz w:val="32"/>
          <w:szCs w:val="32"/>
          <w:shd w:val="clear" w:color="auto" w:fill="FFFFFF"/>
        </w:rPr>
        <w:t>三、“三公”经费情况说明</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 xml:space="preserve"> （一）“三公”经费支出总体情况说明</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highlight w:val="none"/>
        </w:rPr>
      </w:pPr>
      <w:r>
        <w:rPr>
          <w:rFonts w:ascii="方正仿宋_GBK" w:hAnsi="方正仿宋_GBK" w:eastAsia="方正仿宋_GBK" w:cs="方正仿宋_GBK"/>
          <w:sz w:val="32"/>
          <w:szCs w:val="32"/>
          <w:shd w:val="clear" w:color="auto" w:fill="FFFFFF"/>
        </w:rPr>
        <w:t>2023年度“三公”经费支出共计</w:t>
      </w:r>
      <w:r>
        <w:rPr>
          <w:rFonts w:ascii="方正仿宋_GBK" w:hAnsi="方正仿宋_GBK" w:eastAsia="方正仿宋_GBK" w:cs="方正仿宋_GBK"/>
          <w:sz w:val="32"/>
          <w:szCs w:val="32"/>
        </w:rPr>
        <w:t>2.14</w:t>
      </w:r>
      <w:r>
        <w:rPr>
          <w:rFonts w:ascii="方正仿宋_GBK" w:hAnsi="方正仿宋_GBK" w:eastAsia="方正仿宋_GBK" w:cs="方正仿宋_GBK"/>
          <w:sz w:val="32"/>
          <w:szCs w:val="32"/>
          <w:shd w:val="clear" w:color="auto" w:fill="FFFFFF"/>
        </w:rPr>
        <w:t>万元，较年初预算数减少4.16万元，下降66.03%，主要原因是</w:t>
      </w:r>
      <w:r>
        <w:rPr>
          <w:rFonts w:hint="eastAsia" w:ascii="方正仿宋_GBK" w:hAnsi="方正仿宋_GBK" w:eastAsia="方正仿宋_GBK" w:cs="方正仿宋_GBK"/>
          <w:sz w:val="32"/>
          <w:szCs w:val="32"/>
          <w:highlight w:val="none"/>
          <w:shd w:val="clear" w:color="auto" w:fill="FFFFFF"/>
          <w:lang w:eastAsia="zh-CN"/>
        </w:rPr>
        <w:t>节约开支，减少支出。</w:t>
      </w:r>
      <w:r>
        <w:rPr>
          <w:rFonts w:ascii="方正仿宋_GBK" w:hAnsi="方正仿宋_GBK" w:eastAsia="方正仿宋_GBK" w:cs="方正仿宋_GBK"/>
          <w:sz w:val="32"/>
          <w:szCs w:val="32"/>
          <w:shd w:val="clear" w:color="auto" w:fill="FFFFFF"/>
        </w:rPr>
        <w:t>较上年支出数减少1.36万元，下降38.86%，主要原因是</w:t>
      </w:r>
      <w:r>
        <w:rPr>
          <w:rFonts w:hint="eastAsia" w:ascii="方正仿宋_GBK" w:hAnsi="方正仿宋_GBK" w:eastAsia="方正仿宋_GBK" w:cs="方正仿宋_GBK"/>
          <w:sz w:val="32"/>
          <w:szCs w:val="32"/>
          <w:highlight w:val="none"/>
          <w:shd w:val="clear" w:color="auto" w:fill="FFFFFF"/>
          <w:lang w:eastAsia="zh-CN"/>
        </w:rPr>
        <w:t>节约开支，减少支出。</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（二）“三公”经费分项支出情况</w:t>
      </w:r>
    </w:p>
    <w:p>
      <w:pPr>
        <w:pStyle w:val="5"/>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2023年度本部门因公出国（境）费用</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费用支出较年初预算数无增减</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较上年支出数无增减，主要原因</w:t>
      </w:r>
      <w:r>
        <w:rPr>
          <w:rFonts w:hint="eastAsia" w:ascii="方正仿宋_GBK" w:hAnsi="方正仿宋_GBK" w:eastAsia="方正仿宋_GBK" w:cs="方正仿宋_GBK"/>
          <w:sz w:val="32"/>
          <w:szCs w:val="32"/>
          <w:shd w:val="clear" w:color="auto" w:fill="FFFFFF"/>
          <w:lang w:eastAsia="zh-CN"/>
        </w:rPr>
        <w:t>是本单位无因公出国（境）人员。</w:t>
      </w:r>
    </w:p>
    <w:p>
      <w:pPr>
        <w:pStyle w:val="5"/>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lang w:eastAsia="zh-CN"/>
        </w:rPr>
      </w:pPr>
      <w:r>
        <w:rPr>
          <w:rFonts w:ascii="方正仿宋_GBK" w:hAnsi="方正仿宋_GBK" w:eastAsia="方正仿宋_GBK" w:cs="方正仿宋_GBK"/>
          <w:sz w:val="32"/>
          <w:szCs w:val="32"/>
          <w:shd w:val="clear" w:color="auto" w:fill="FFFFFF"/>
        </w:rPr>
        <w:t> 公务车购置费</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万元，费用支出较年初预算数无增减，较上年支出数无增减</w:t>
      </w:r>
      <w:r>
        <w:rPr>
          <w:rFonts w:hint="eastAsia" w:ascii="方正仿宋_GBK" w:hAnsi="方正仿宋_GBK" w:eastAsia="方正仿宋_GBK" w:cs="方正仿宋_GBK"/>
          <w:sz w:val="32"/>
          <w:szCs w:val="32"/>
          <w:shd w:val="clear" w:color="auto" w:fill="FFFFFF"/>
          <w:lang w:eastAsia="zh-CN"/>
        </w:rPr>
        <w:t>。</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公务车运行维护费</w:t>
      </w:r>
      <w:r>
        <w:rPr>
          <w:rFonts w:ascii="方正仿宋_GBK" w:hAnsi="方正仿宋_GBK" w:eastAsia="方正仿宋_GBK" w:cs="方正仿宋_GBK"/>
          <w:sz w:val="32"/>
          <w:szCs w:val="32"/>
        </w:rPr>
        <w:t>1.63</w:t>
      </w:r>
      <w:r>
        <w:rPr>
          <w:rFonts w:ascii="方正仿宋_GBK" w:hAnsi="方正仿宋_GBK" w:eastAsia="方正仿宋_GBK" w:cs="方正仿宋_GBK"/>
          <w:sz w:val="32"/>
          <w:szCs w:val="32"/>
          <w:shd w:val="clear" w:color="auto" w:fill="FFFFFF"/>
        </w:rPr>
        <w:t>万元，主要</w:t>
      </w:r>
      <w:r>
        <w:rPr>
          <w:rFonts w:ascii="方正仿宋_GBK" w:hAnsi="方正仿宋_GBK" w:eastAsia="方正仿宋_GBK" w:cs="方正仿宋_GBK"/>
          <w:sz w:val="32"/>
          <w:szCs w:val="32"/>
          <w:highlight w:val="none"/>
          <w:shd w:val="clear" w:color="auto" w:fill="FFFFFF"/>
        </w:rPr>
        <w:t>用于</w:t>
      </w:r>
      <w:r>
        <w:rPr>
          <w:rFonts w:hint="eastAsia" w:ascii="方正仿宋_GBK" w:hAnsi="方正仿宋_GBK" w:eastAsia="方正仿宋_GBK" w:cs="方正仿宋_GBK"/>
          <w:sz w:val="32"/>
          <w:szCs w:val="32"/>
          <w:highlight w:val="none"/>
          <w:shd w:val="clear" w:color="auto" w:fill="FFFFFF"/>
          <w:lang w:eastAsia="zh-CN"/>
        </w:rPr>
        <w:t>公务车的维修、保养、过路过桥费和加油等支出，</w:t>
      </w:r>
      <w:r>
        <w:rPr>
          <w:rFonts w:ascii="方正仿宋_GBK" w:hAnsi="方正仿宋_GBK" w:eastAsia="方正仿宋_GBK" w:cs="方正仿宋_GBK"/>
          <w:sz w:val="32"/>
          <w:szCs w:val="32"/>
          <w:shd w:val="clear" w:color="auto" w:fill="FFFFFF"/>
        </w:rPr>
        <w:t>费用支出较年初预算数减少2.87万元，下降63.78%，主要原因是</w:t>
      </w:r>
      <w:r>
        <w:rPr>
          <w:rFonts w:hint="eastAsia" w:ascii="方正仿宋_GBK" w:hAnsi="方正仿宋_GBK" w:eastAsia="方正仿宋_GBK" w:cs="方正仿宋_GBK"/>
          <w:sz w:val="32"/>
          <w:szCs w:val="32"/>
          <w:shd w:val="clear" w:color="auto" w:fill="FFFFFF"/>
          <w:lang w:eastAsia="zh-CN"/>
        </w:rPr>
        <w:t>滞站人员安置后，减少用车。</w:t>
      </w:r>
      <w:r>
        <w:rPr>
          <w:rFonts w:ascii="方正仿宋_GBK" w:hAnsi="方正仿宋_GBK" w:eastAsia="方正仿宋_GBK" w:cs="方正仿宋_GBK"/>
          <w:sz w:val="32"/>
          <w:szCs w:val="32"/>
          <w:shd w:val="clear" w:color="auto" w:fill="FFFFFF"/>
        </w:rPr>
        <w:t>较上年支出数减少0.87万元，下降34.80%，主要原因是</w:t>
      </w:r>
      <w:r>
        <w:rPr>
          <w:rFonts w:hint="eastAsia" w:ascii="方正仿宋_GBK" w:hAnsi="方正仿宋_GBK" w:eastAsia="方正仿宋_GBK" w:cs="方正仿宋_GBK"/>
          <w:sz w:val="32"/>
          <w:szCs w:val="32"/>
          <w:shd w:val="clear" w:color="auto" w:fill="FFFFFF"/>
          <w:lang w:eastAsia="zh-CN"/>
        </w:rPr>
        <w:t>减少用车，减少支出。</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公务接待费</w:t>
      </w:r>
      <w:r>
        <w:rPr>
          <w:rFonts w:ascii="方正仿宋_GBK" w:hAnsi="方正仿宋_GBK" w:eastAsia="方正仿宋_GBK" w:cs="方正仿宋_GBK"/>
          <w:sz w:val="32"/>
          <w:szCs w:val="32"/>
        </w:rPr>
        <w:t>0.51</w:t>
      </w:r>
      <w:r>
        <w:rPr>
          <w:rFonts w:ascii="方正仿宋_GBK" w:hAnsi="方正仿宋_GBK" w:eastAsia="方正仿宋_GBK" w:cs="方正仿宋_GBK"/>
          <w:sz w:val="32"/>
          <w:szCs w:val="32"/>
          <w:shd w:val="clear" w:color="auto" w:fill="FFFFFF"/>
        </w:rPr>
        <w:t>万元，主要用于接待</w:t>
      </w:r>
      <w:r>
        <w:rPr>
          <w:rFonts w:hint="eastAsia" w:ascii="方正仿宋_GBK" w:hAnsi="方正仿宋_GBK" w:eastAsia="方正仿宋_GBK" w:cs="方正仿宋_GBK"/>
          <w:sz w:val="32"/>
          <w:szCs w:val="32"/>
          <w:shd w:val="clear" w:color="auto" w:fill="FFFFFF"/>
          <w:lang w:eastAsia="zh-CN"/>
        </w:rPr>
        <w:t>因工作原因上级、其他救助站来我单位人员以及其他工作人员送救助人员来我单位的人员等。</w:t>
      </w:r>
      <w:r>
        <w:rPr>
          <w:rFonts w:ascii="方正仿宋_GBK" w:hAnsi="方正仿宋_GBK" w:eastAsia="方正仿宋_GBK" w:cs="方正仿宋_GBK"/>
          <w:sz w:val="32"/>
          <w:szCs w:val="32"/>
          <w:shd w:val="clear" w:color="auto" w:fill="FFFFFF"/>
        </w:rPr>
        <w:t>费用支出较年初预算数减少1.29万元，下降71.67%，主要原因是</w:t>
      </w:r>
      <w:r>
        <w:rPr>
          <w:rFonts w:hint="eastAsia" w:ascii="方正仿宋_GBK" w:hAnsi="方正仿宋_GBK" w:eastAsia="方正仿宋_GBK" w:cs="方正仿宋_GBK"/>
          <w:sz w:val="32"/>
          <w:szCs w:val="32"/>
          <w:shd w:val="clear" w:color="auto" w:fill="FFFFFF"/>
          <w:lang w:eastAsia="zh-CN"/>
        </w:rPr>
        <w:t>接待次数减少。</w:t>
      </w:r>
      <w:r>
        <w:rPr>
          <w:rFonts w:ascii="方正仿宋_GBK" w:hAnsi="方正仿宋_GBK" w:eastAsia="方正仿宋_GBK" w:cs="方正仿宋_GBK"/>
          <w:sz w:val="32"/>
          <w:szCs w:val="32"/>
          <w:shd w:val="clear" w:color="auto" w:fill="FFFFFF"/>
        </w:rPr>
        <w:t>较上年支出数减少0.49万元，下降49.00%，主要原因是</w:t>
      </w:r>
      <w:r>
        <w:rPr>
          <w:rFonts w:hint="eastAsia" w:ascii="方正仿宋_GBK" w:hAnsi="方正仿宋_GBK" w:eastAsia="方正仿宋_GBK" w:cs="方正仿宋_GBK"/>
          <w:sz w:val="32"/>
          <w:szCs w:val="32"/>
          <w:shd w:val="clear" w:color="auto" w:fill="FFFFFF"/>
          <w:lang w:eastAsia="zh-CN"/>
        </w:rPr>
        <w:t>接待次数减少。</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（三）“三公”经费实物量情况</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2023年度本部门因公出国（境）共计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1</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10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65</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人。2023年本部门人均接待费</w:t>
      </w:r>
      <w:r>
        <w:rPr>
          <w:rFonts w:ascii="方正仿宋_GBK" w:hAnsi="方正仿宋_GBK" w:eastAsia="方正仿宋_GBK" w:cs="方正仿宋_GBK"/>
          <w:sz w:val="32"/>
          <w:szCs w:val="32"/>
        </w:rPr>
        <w:t>79.02</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1.63</w:t>
      </w:r>
      <w:r>
        <w:rPr>
          <w:rFonts w:ascii="方正仿宋_GBK" w:hAnsi="方正仿宋_GBK" w:eastAsia="方正仿宋_GBK" w:cs="方正仿宋_GBK"/>
          <w:sz w:val="32"/>
          <w:szCs w:val="32"/>
          <w:shd w:val="clear" w:color="auto" w:fill="FFFFFF"/>
        </w:rPr>
        <w:t>万元。</w:t>
      </w:r>
    </w:p>
    <w:p>
      <w:pPr>
        <w:pStyle w:val="5"/>
        <w:shd w:val="clear" w:color="auto" w:fill="FFFFFF"/>
        <w:rPr>
          <w:rStyle w:val="9"/>
          <w:rFonts w:hint="default" w:ascii="方正仿宋_GBK" w:hAnsi="方正仿宋_GBK" w:eastAsia="方正仿宋_GBK" w:cs="方正仿宋_GBK"/>
          <w:sz w:val="32"/>
          <w:szCs w:val="32"/>
          <w:shd w:val="clear" w:color="auto" w:fill="FFFFFF"/>
        </w:rPr>
      </w:pPr>
      <w:r>
        <w:rPr>
          <w:rStyle w:val="9"/>
          <w:rFonts w:ascii="黑体" w:hAnsi="黑体" w:eastAsia="黑体" w:cs="黑体"/>
          <w:sz w:val="32"/>
          <w:szCs w:val="32"/>
          <w:shd w:val="clear" w:color="auto" w:fill="FFFFFF"/>
        </w:rPr>
        <w:t>四、其他需要说明的事项</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  （一）财政拨款会议费和培训费情况说明</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本年度会议费支出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本年度培训费支出</w:t>
      </w:r>
      <w:r>
        <w:rPr>
          <w:rFonts w:ascii="方正仿宋_GBK" w:hAnsi="方正仿宋_GBK" w:eastAsia="方正仿宋_GBK" w:cs="方正仿宋_GBK"/>
          <w:sz w:val="32"/>
          <w:szCs w:val="32"/>
        </w:rPr>
        <w:t>0.60</w:t>
      </w:r>
      <w:r>
        <w:rPr>
          <w:rFonts w:ascii="方正仿宋_GBK" w:hAnsi="方正仿宋_GBK" w:eastAsia="方正仿宋_GBK" w:cs="方正仿宋_GBK"/>
          <w:sz w:val="32"/>
          <w:szCs w:val="32"/>
          <w:shd w:val="clear" w:color="auto" w:fill="FFFFFF"/>
        </w:rPr>
        <w:t>万元，较上年决算数减少0.27万元，下降31.03%，主要原因是</w:t>
      </w:r>
      <w:r>
        <w:rPr>
          <w:rFonts w:hint="eastAsia" w:ascii="方正仿宋_GBK" w:hAnsi="方正仿宋_GBK" w:eastAsia="方正仿宋_GBK" w:cs="方正仿宋_GBK"/>
          <w:sz w:val="32"/>
          <w:szCs w:val="32"/>
          <w:shd w:val="clear" w:color="auto" w:fill="FFFFFF"/>
          <w:lang w:eastAsia="zh-CN"/>
        </w:rPr>
        <w:t>救助管理系统专题培训减少。</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（二）机关运行经费情况说明</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2023年度本部门机关运行经费支出</w:t>
      </w:r>
      <w:r>
        <w:rPr>
          <w:rFonts w:ascii="方正仿宋_GBK" w:hAnsi="方正仿宋_GBK" w:eastAsia="方正仿宋_GBK" w:cs="方正仿宋_GBK"/>
          <w:sz w:val="32"/>
          <w:szCs w:val="32"/>
        </w:rPr>
        <w:t>29.27</w:t>
      </w:r>
      <w:r>
        <w:rPr>
          <w:rFonts w:ascii="方正仿宋_GBK" w:hAnsi="方正仿宋_GBK" w:eastAsia="方正仿宋_GBK" w:cs="方正仿宋_GBK"/>
          <w:sz w:val="32"/>
          <w:szCs w:val="32"/>
          <w:shd w:val="clear" w:color="auto" w:fill="FFFFFF"/>
        </w:rPr>
        <w:t>万元，机关运行经费主要用于开支</w:t>
      </w:r>
      <w:r>
        <w:rPr>
          <w:rFonts w:hint="eastAsia" w:ascii="方正仿宋_GBK" w:hAnsi="方正仿宋_GBK" w:eastAsia="方正仿宋_GBK" w:cs="方正仿宋_GBK"/>
          <w:sz w:val="32"/>
          <w:szCs w:val="32"/>
          <w:shd w:val="clear" w:color="auto" w:fill="FFFFFF"/>
          <w:lang w:eastAsia="zh-CN"/>
        </w:rPr>
        <w:t>办公费、水费、电费、邮电费、培训费、会议费、公务接待费、公务车运行维护费等。</w:t>
      </w:r>
      <w:r>
        <w:rPr>
          <w:rFonts w:ascii="方正仿宋_GBK" w:hAnsi="方正仿宋_GBK" w:eastAsia="方正仿宋_GBK" w:cs="方正仿宋_GBK"/>
          <w:sz w:val="32"/>
          <w:szCs w:val="32"/>
          <w:shd w:val="clear" w:color="auto" w:fill="FFFFFF"/>
        </w:rPr>
        <w:t>机关运行经费较上年支出数增加6.84万元，增长30.49%，主要原因是主要原因是</w:t>
      </w:r>
      <w:r>
        <w:rPr>
          <w:rFonts w:hint="eastAsia" w:ascii="方正仿宋_GBK" w:hAnsi="方正仿宋_GBK" w:eastAsia="方正仿宋_GBK" w:cs="方正仿宋_GBK"/>
          <w:sz w:val="32"/>
          <w:szCs w:val="32"/>
          <w:shd w:val="clear" w:color="auto" w:fill="FFFFFF"/>
          <w:lang w:eastAsia="zh-CN"/>
        </w:rPr>
        <w:t>工会统一到局里面，经费增加。</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（三）国有资产占用情况说明</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截至2023年12月31日，本部门共有车辆</w:t>
      </w:r>
      <w:r>
        <w:rPr>
          <w:rFonts w:ascii="方正仿宋_GBK" w:hAnsi="方正仿宋_GBK" w:eastAsia="方正仿宋_GBK" w:cs="方正仿宋_GBK"/>
          <w:sz w:val="32"/>
          <w:szCs w:val="32"/>
        </w:rPr>
        <w:t>1</w:t>
      </w:r>
      <w:r>
        <w:rPr>
          <w:rFonts w:ascii="方正仿宋_GBK" w:hAnsi="方正仿宋_GBK" w:eastAsia="方正仿宋_GBK" w:cs="方正仿宋_GBK"/>
          <w:sz w:val="32"/>
          <w:szCs w:val="32"/>
          <w:shd w:val="clear" w:color="auto" w:fill="FFFFFF"/>
        </w:rPr>
        <w:t>辆，其中，副部（省）级及以上领导用车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辆、主要负责人用车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辆、机要通信用车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辆、应急保障用车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辆、执法执勤用车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辆，特种专业技术用车</w:t>
      </w:r>
      <w:r>
        <w:rPr>
          <w:rFonts w:ascii="方正仿宋_GBK" w:hAnsi="方正仿宋_GBK" w:eastAsia="方正仿宋_GBK" w:cs="方正仿宋_GBK"/>
          <w:sz w:val="32"/>
          <w:szCs w:val="32"/>
        </w:rPr>
        <w:t>1</w:t>
      </w:r>
      <w:r>
        <w:rPr>
          <w:rFonts w:ascii="方正仿宋_GBK" w:hAnsi="方正仿宋_GBK" w:eastAsia="方正仿宋_GBK" w:cs="方正仿宋_GBK"/>
          <w:sz w:val="32"/>
          <w:szCs w:val="32"/>
          <w:shd w:val="clear" w:color="auto" w:fill="FFFFFF"/>
        </w:rPr>
        <w:t>辆，离退休干部用车</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辆。单价100万元（含）以上专用设备</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台（套）。</w:t>
      </w:r>
    </w:p>
    <w:p>
      <w:pPr>
        <w:pStyle w:val="10"/>
        <w:autoSpaceDE w:val="0"/>
        <w:ind w:firstLine="643"/>
        <w:rPr>
          <w:rFonts w:ascii="楷体" w:hAnsi="楷体" w:eastAsia="楷体" w:cs="楷体"/>
          <w:b/>
          <w:bCs/>
          <w:sz w:val="32"/>
          <w:szCs w:val="32"/>
          <w:shd w:val="clear" w:color="auto" w:fill="FFFFFF"/>
          <w:lang w:bidi="ar"/>
        </w:rPr>
      </w:pPr>
      <w:r>
        <w:rPr>
          <w:rFonts w:hint="eastAsia" w:ascii="楷体" w:hAnsi="楷体" w:eastAsia="楷体" w:cs="楷体"/>
          <w:b/>
          <w:bCs/>
          <w:sz w:val="32"/>
          <w:szCs w:val="32"/>
          <w:shd w:val="clear" w:color="auto" w:fill="FFFFFF"/>
          <w:lang w:bidi="ar"/>
        </w:rPr>
        <w:t>（四）政府采购支出情况说明</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color w:val="FF0000"/>
          <w:sz w:val="32"/>
          <w:szCs w:val="32"/>
          <w:shd w:val="clear" w:color="auto" w:fill="FFFFFF"/>
        </w:rPr>
      </w:pPr>
      <w:r>
        <w:rPr>
          <w:rFonts w:ascii="方正仿宋_GBK" w:hAnsi="方正仿宋_GBK" w:eastAsia="方正仿宋_GBK" w:cs="方正仿宋_GBK"/>
          <w:sz w:val="32"/>
          <w:szCs w:val="32"/>
          <w:shd w:val="clear" w:color="auto" w:fill="FFFFFF"/>
        </w:rPr>
        <w:t>  2023年度本部门政府采购支出总额</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万元，其中：政府采购货物支出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万元、政府采购工程支出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万元、政府采购服务支出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万元。授予中小企业合同金额</w:t>
      </w:r>
      <w:r>
        <w:rPr>
          <w:rFonts w:ascii="方正仿宋_GBK" w:hAnsi="方正仿宋_GBK" w:eastAsia="方正仿宋_GBK" w:cs="方正仿宋_GBK"/>
          <w:sz w:val="32"/>
          <w:szCs w:val="32"/>
        </w:rPr>
        <w:t>0.00万</w:t>
      </w:r>
      <w:r>
        <w:rPr>
          <w:rFonts w:ascii="方正仿宋_GBK" w:hAnsi="方正仿宋_GBK" w:eastAsia="方正仿宋_GBK" w:cs="方正仿宋_GBK"/>
          <w:sz w:val="32"/>
          <w:szCs w:val="32"/>
          <w:shd w:val="clear" w:color="auto" w:fill="FFFFFF"/>
        </w:rPr>
        <w:t>元，占政府采购支出总额的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%，其中：授予小微企业合同金额</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万元，占政府采购支出总额的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 xml:space="preserve"> %。</w:t>
      </w:r>
      <w:r>
        <w:rPr>
          <w:rFonts w:hint="eastAsia" w:ascii="方正仿宋_GBK" w:hAnsi="方正仿宋_GBK" w:eastAsia="方正仿宋_GBK" w:cs="方正仿宋_GBK"/>
          <w:sz w:val="32"/>
          <w:szCs w:val="32"/>
          <w:shd w:val="clear" w:color="auto" w:fill="FFFFFF"/>
          <w:lang w:val="en-US" w:eastAsia="zh-CN"/>
        </w:rPr>
        <w:t>2023年度我单位未发生政府采购事项，无相关经费支出。</w:t>
      </w:r>
    </w:p>
    <w:p>
      <w:pPr>
        <w:pStyle w:val="13"/>
        <w:tabs>
          <w:tab w:val="center" w:pos="4153"/>
          <w:tab w:val="left" w:pos="7275"/>
        </w:tabs>
        <w:spacing w:line="596" w:lineRule="exact"/>
        <w:ind w:firstLine="640"/>
        <w:rPr>
          <w:rStyle w:val="9"/>
          <w:rFonts w:hint="default" w:ascii="仿宋" w:hAnsi="仿宋" w:eastAsia="仿宋" w:cs="仿宋"/>
          <w:sz w:val="32"/>
          <w:szCs w:val="32"/>
          <w:highlight w:val="yellow"/>
          <w:shd w:val="clear" w:color="auto" w:fill="FFFFFF"/>
        </w:rPr>
      </w:pPr>
      <w:r>
        <w:rPr>
          <w:rFonts w:hint="eastAsia" w:ascii="Times New Roman" w:hAnsi="Times New Roman" w:eastAsia="方正黑体_GBK" w:cs="宋体"/>
          <w:color w:val="000000"/>
          <w:sz w:val="32"/>
          <w:szCs w:val="32"/>
          <w:highlight w:val="none"/>
        </w:rPr>
        <w:t>五、预算绩效管理情况说明</w:t>
      </w:r>
    </w:p>
    <w:p>
      <w:pPr>
        <w:pStyle w:val="5"/>
        <w:widowControl w:val="0"/>
        <w:spacing w:before="0" w:beforeAutospacing="0" w:after="0" w:afterAutospacing="0"/>
        <w:ind w:firstLine="640" w:firstLineChars="200"/>
        <w:jc w:val="both"/>
        <w:rPr>
          <w:rFonts w:hint="default" w:ascii="方正楷体_GBK" w:hAnsi="方正楷体_GBK" w:eastAsia="方正楷体_GBK" w:cs="方正楷体_GBK"/>
          <w:kern w:val="2"/>
          <w:sz w:val="32"/>
          <w:szCs w:val="32"/>
          <w:shd w:val="clear" w:color="auto" w:fill="FFFFFF"/>
        </w:rPr>
      </w:pPr>
      <w:r>
        <w:rPr>
          <w:rFonts w:hint="default" w:ascii="方正楷体_GBK" w:hAnsi="方正楷体_GBK" w:eastAsia="方正楷体_GBK" w:cs="方正楷体_GBK"/>
          <w:kern w:val="2"/>
          <w:sz w:val="32"/>
          <w:szCs w:val="32"/>
          <w:shd w:val="clear" w:color="auto" w:fill="FFFFFF"/>
          <w:lang w:bidi="ar"/>
        </w:rPr>
        <w:t>（一）预算绩效管理工作开展情况</w:t>
      </w:r>
    </w:p>
    <w:p>
      <w:pPr>
        <w:pStyle w:val="5"/>
        <w:spacing w:before="0" w:beforeAutospacing="0" w:after="0" w:afterAutospacing="0" w:line="600" w:lineRule="exact"/>
        <w:ind w:firstLine="640" w:firstLineChars="200"/>
        <w:rPr>
          <w:rFonts w:hint="eastAsia" w:ascii="方正仿宋_GBK" w:hAnsi="方正仿宋_GBK" w:eastAsia="方正仿宋_GBK" w:cs="方正仿宋_GBK"/>
          <w:sz w:val="32"/>
          <w:szCs w:val="32"/>
          <w:shd w:val="clear" w:color="auto" w:fill="FFFFFF"/>
          <w:lang w:eastAsia="zh-CN"/>
        </w:rPr>
      </w:pPr>
      <w:r>
        <w:rPr>
          <w:rFonts w:hint="default" w:ascii="方正仿宋_GBK" w:hAnsi="方正仿宋_GBK" w:eastAsia="方正仿宋_GBK" w:cs="方正仿宋_GBK"/>
          <w:sz w:val="32"/>
          <w:szCs w:val="32"/>
          <w:lang w:bidi="ar"/>
        </w:rPr>
        <w:t>根据预算绩效管理要求，我</w:t>
      </w:r>
      <w:r>
        <w:rPr>
          <w:rFonts w:ascii="方正仿宋_GBK" w:hAnsi="方正仿宋_GBK" w:eastAsia="方正仿宋_GBK" w:cs="方正仿宋_GBK"/>
          <w:sz w:val="32"/>
          <w:szCs w:val="32"/>
          <w:lang w:bidi="ar"/>
        </w:rPr>
        <w:t>单位</w:t>
      </w:r>
      <w:r>
        <w:rPr>
          <w:rFonts w:hint="eastAsia" w:ascii="方正仿宋_GBK" w:hAnsi="方正仿宋_GBK" w:eastAsia="方正仿宋_GBK" w:cs="方正仿宋_GBK"/>
          <w:sz w:val="32"/>
          <w:szCs w:val="32"/>
          <w:lang w:eastAsia="zh-CN" w:bidi="ar"/>
        </w:rPr>
        <w:t>对</w:t>
      </w:r>
      <w:bookmarkStart w:id="0" w:name="_GoBack"/>
      <w:bookmarkEnd w:id="0"/>
      <w:r>
        <w:rPr>
          <w:rFonts w:hint="eastAsia" w:ascii="方正仿宋_GBK" w:hAnsi="方正仿宋_GBK" w:eastAsia="方正仿宋_GBK" w:cs="方正仿宋_GBK"/>
          <w:sz w:val="32"/>
          <w:szCs w:val="32"/>
          <w:lang w:val="en-US" w:eastAsia="zh-CN" w:bidi="ar"/>
        </w:rPr>
        <w:t>5</w:t>
      </w:r>
      <w:r>
        <w:rPr>
          <w:rFonts w:hint="default" w:ascii="方正仿宋_GBK" w:hAnsi="方正仿宋_GBK" w:eastAsia="方正仿宋_GBK" w:cs="方正仿宋_GBK"/>
          <w:sz w:val="32"/>
          <w:szCs w:val="32"/>
          <w:lang w:bidi="ar"/>
        </w:rPr>
        <w:t>个项目开展了绩效自评，涉及财政拨款项目支出资金</w:t>
      </w:r>
      <w:r>
        <w:rPr>
          <w:rFonts w:hint="eastAsia" w:ascii="方正仿宋_GBK" w:hAnsi="方正仿宋_GBK" w:eastAsia="方正仿宋_GBK" w:cs="方正仿宋_GBK"/>
          <w:sz w:val="32"/>
          <w:szCs w:val="32"/>
          <w:lang w:val="en-US" w:eastAsia="zh-CN" w:bidi="ar"/>
        </w:rPr>
        <w:t>70</w:t>
      </w:r>
      <w:r>
        <w:rPr>
          <w:rFonts w:hint="default" w:ascii="方正仿宋_GBK" w:hAnsi="方正仿宋_GBK" w:eastAsia="方正仿宋_GBK" w:cs="方正仿宋_GBK"/>
          <w:sz w:val="32"/>
          <w:szCs w:val="32"/>
          <w:lang w:bidi="ar"/>
        </w:rPr>
        <w:t>万元</w:t>
      </w:r>
      <w:r>
        <w:rPr>
          <w:rFonts w:hint="eastAsia" w:ascii="方正仿宋_GBK" w:hAnsi="方正仿宋_GBK" w:eastAsia="方正仿宋_GBK" w:cs="方正仿宋_GBK"/>
          <w:sz w:val="32"/>
          <w:szCs w:val="32"/>
          <w:lang w:eastAsia="zh-CN" w:bidi="ar"/>
        </w:rPr>
        <w:t>。</w:t>
      </w:r>
    </w:p>
    <w:p>
      <w:pPr>
        <w:pStyle w:val="5"/>
        <w:spacing w:before="0" w:beforeAutospacing="0" w:after="0" w:afterAutospacing="0" w:line="600" w:lineRule="exact"/>
        <w:ind w:firstLine="640" w:firstLineChars="200"/>
        <w:rPr>
          <w:rFonts w:hint="default" w:ascii="方正楷体_GBK" w:eastAsia="方正楷体_GBK" w:cs="宋体"/>
          <w:sz w:val="32"/>
          <w:szCs w:val="32"/>
        </w:rPr>
      </w:pPr>
      <w:r>
        <w:rPr>
          <w:rFonts w:hint="default" w:ascii="方正楷体_GBK" w:hAnsi="方正楷体_GBK" w:eastAsia="方正楷体_GBK" w:cs="方正楷体_GBK"/>
          <w:kern w:val="2"/>
          <w:sz w:val="32"/>
          <w:szCs w:val="32"/>
          <w:shd w:val="clear" w:color="auto" w:fill="FFFFFF"/>
          <w:lang w:bidi="ar"/>
        </w:rPr>
        <w:t>（二）</w:t>
      </w:r>
      <w:r>
        <w:rPr>
          <w:rFonts w:hint="default" w:ascii="方正楷体_GBK" w:hAnsi="方正楷体_GBK" w:eastAsia="方正楷体_GBK" w:cs="方正楷体_GBK"/>
          <w:sz w:val="32"/>
          <w:szCs w:val="32"/>
          <w:lang w:bidi="ar"/>
        </w:rPr>
        <w:t>绩效自评结果</w:t>
      </w:r>
    </w:p>
    <w:p>
      <w:pPr>
        <w:pStyle w:val="5"/>
        <w:spacing w:before="0" w:beforeAutospacing="0" w:after="0" w:afterAutospacing="0" w:line="600" w:lineRule="exact"/>
        <w:ind w:firstLine="640" w:firstLineChars="200"/>
        <w:rPr>
          <w:rFonts w:hint="default" w:ascii="方正仿宋_GBK" w:hAnsi="方正仿宋_GBK" w:eastAsia="方正仿宋_GBK" w:cs="方正仿宋_GBK"/>
          <w:kern w:val="2"/>
          <w:sz w:val="32"/>
          <w:szCs w:val="32"/>
          <w:shd w:val="clear" w:color="auto" w:fill="FFFFFF"/>
        </w:rPr>
      </w:pPr>
      <w:r>
        <w:rPr>
          <w:rFonts w:hint="default" w:ascii="方正仿宋_GBK" w:hAnsi="方正仿宋_GBK" w:eastAsia="方正仿宋_GBK" w:cs="方正仿宋_GBK"/>
          <w:color w:val="000000"/>
          <w:sz w:val="32"/>
          <w:szCs w:val="32"/>
          <w:lang w:bidi="ar"/>
        </w:rPr>
        <w:t>绩效自评结果详见附件</w:t>
      </w:r>
      <w:r>
        <w:rPr>
          <w:rFonts w:hint="default" w:ascii="Times New Roman" w:hAnsi="Times New Roman" w:eastAsia="方正仿宋_GBK" w:cs="宋体"/>
          <w:color w:val="000000"/>
          <w:sz w:val="32"/>
          <w:szCs w:val="32"/>
          <w:lang w:bidi="ar"/>
        </w:rPr>
        <w:t>2023</w:t>
      </w:r>
      <w:r>
        <w:rPr>
          <w:rFonts w:hint="default" w:ascii="方正仿宋_GBK" w:hAnsi="方正仿宋_GBK" w:eastAsia="方正仿宋_GBK" w:cs="方正仿宋_GBK"/>
          <w:color w:val="000000"/>
          <w:sz w:val="32"/>
          <w:szCs w:val="32"/>
          <w:lang w:bidi="ar"/>
        </w:rPr>
        <w:t>年度绩效自评公开表（《部门整体绩效自评表》、《项目绩效自评结果汇总表》、《项目支出绩效自评表》）。</w:t>
      </w:r>
    </w:p>
    <w:p>
      <w:pPr>
        <w:pStyle w:val="5"/>
        <w:widowControl w:val="0"/>
        <w:spacing w:before="0" w:beforeAutospacing="0" w:after="0" w:afterAutospacing="0"/>
        <w:ind w:firstLine="640" w:firstLineChars="200"/>
        <w:jc w:val="both"/>
        <w:rPr>
          <w:rFonts w:hint="default" w:ascii="方正楷体_GBK" w:hAnsi="方正楷体_GBK" w:eastAsia="方正楷体_GBK" w:cs="方正楷体_GBK"/>
          <w:kern w:val="2"/>
          <w:sz w:val="32"/>
          <w:szCs w:val="32"/>
          <w:shd w:val="clear" w:color="auto" w:fill="FFFFFF"/>
        </w:rPr>
      </w:pPr>
      <w:r>
        <w:rPr>
          <w:rFonts w:hint="default" w:ascii="方正楷体_GBK" w:hAnsi="方正楷体_GBK" w:eastAsia="方正楷体_GBK" w:cs="方正楷体_GBK"/>
          <w:kern w:val="2"/>
          <w:sz w:val="32"/>
          <w:szCs w:val="32"/>
          <w:shd w:val="clear" w:color="auto" w:fill="FFFFFF"/>
          <w:lang w:bidi="ar"/>
        </w:rPr>
        <w:t>（三）财政绩效评价情况</w:t>
      </w:r>
    </w:p>
    <w:p>
      <w:pPr>
        <w:pStyle w:val="5"/>
        <w:spacing w:before="0" w:beforeAutospacing="0" w:after="0" w:afterAutospacing="0" w:line="600" w:lineRule="exact"/>
        <w:ind w:firstLine="640" w:firstLineChars="200"/>
        <w:rPr>
          <w:rFonts w:hint="eastAsia" w:ascii="方正仿宋_GBK" w:hAnsi="方正仿宋_GBK" w:eastAsia="方正仿宋_GBK" w:cs="方正仿宋_GBK"/>
          <w:sz w:val="32"/>
          <w:szCs w:val="32"/>
          <w:shd w:val="clear" w:color="auto" w:fill="FFFFFF"/>
          <w:lang w:eastAsia="zh-CN" w:bidi="ar"/>
        </w:rPr>
      </w:pPr>
      <w:r>
        <w:rPr>
          <w:rFonts w:hint="default" w:ascii="方正仿宋_GBK" w:hAnsi="方正仿宋_GBK" w:eastAsia="方正仿宋_GBK" w:cs="方正仿宋_GBK"/>
          <w:sz w:val="32"/>
          <w:szCs w:val="32"/>
          <w:shd w:val="clear" w:color="auto" w:fill="FFFFFF"/>
          <w:lang w:bidi="ar"/>
        </w:rPr>
        <w:t>区财政局</w:t>
      </w:r>
      <w:r>
        <w:rPr>
          <w:rFonts w:hint="eastAsia" w:ascii="方正仿宋_GBK" w:hAnsi="方正仿宋_GBK" w:eastAsia="方正仿宋_GBK" w:cs="方正仿宋_GBK"/>
          <w:sz w:val="32"/>
          <w:szCs w:val="32"/>
          <w:shd w:val="clear" w:color="auto" w:fill="FFFFFF"/>
          <w:lang w:eastAsia="zh-CN" w:bidi="ar"/>
        </w:rPr>
        <w:t>未</w:t>
      </w:r>
      <w:r>
        <w:rPr>
          <w:rFonts w:hint="default" w:ascii="方正仿宋_GBK" w:hAnsi="方正仿宋_GBK" w:eastAsia="方正仿宋_GBK" w:cs="方正仿宋_GBK"/>
          <w:sz w:val="32"/>
          <w:szCs w:val="32"/>
          <w:shd w:val="clear" w:color="auto" w:fill="FFFFFF"/>
          <w:lang w:bidi="ar"/>
        </w:rPr>
        <w:t>委托第三方对我单位</w:t>
      </w:r>
      <w:r>
        <w:rPr>
          <w:rFonts w:hint="eastAsia" w:ascii="方正仿宋_GBK" w:hAnsi="方正仿宋_GBK" w:eastAsia="方正仿宋_GBK" w:cs="方正仿宋_GBK"/>
          <w:sz w:val="32"/>
          <w:szCs w:val="32"/>
          <w:shd w:val="clear" w:color="auto" w:fill="FFFFFF"/>
          <w:lang w:eastAsia="zh-CN" w:bidi="ar"/>
        </w:rPr>
        <w:t>开展绩效评价。</w:t>
      </w:r>
    </w:p>
    <w:p>
      <w:pPr>
        <w:pStyle w:val="5"/>
        <w:shd w:val="clear" w:color="auto" w:fill="FFFFFF"/>
        <w:rPr>
          <w:rStyle w:val="9"/>
          <w:rFonts w:hint="default" w:ascii="方正仿宋_GBK" w:hAnsi="方正仿宋_GBK" w:eastAsia="方正仿宋_GBK" w:cs="方正仿宋_GBK"/>
          <w:sz w:val="32"/>
          <w:szCs w:val="32"/>
          <w:shd w:val="clear" w:color="auto" w:fill="FFFFFF"/>
        </w:rPr>
      </w:pPr>
      <w:r>
        <w:rPr>
          <w:rStyle w:val="9"/>
          <w:rFonts w:ascii="方正仿宋_GBK" w:hAnsi="方正仿宋_GBK" w:eastAsia="方正仿宋_GBK" w:cs="方正仿宋_GBK"/>
          <w:sz w:val="32"/>
          <w:szCs w:val="32"/>
          <w:shd w:val="clear" w:color="auto" w:fill="FFFFFF"/>
        </w:rPr>
        <w:t xml:space="preserve">  </w:t>
      </w:r>
      <w:r>
        <w:rPr>
          <w:rStyle w:val="9"/>
          <w:rFonts w:ascii="黑体" w:hAnsi="黑体" w:eastAsia="黑体" w:cs="黑体"/>
          <w:sz w:val="32"/>
          <w:szCs w:val="32"/>
          <w:shd w:val="clear" w:color="auto" w:fill="FFFFFF"/>
        </w:rPr>
        <w:t>六、专业名词解释</w:t>
      </w:r>
    </w:p>
    <w:p>
      <w:pPr>
        <w:pStyle w:val="5"/>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以下为常见专业名词解释目录，仅供参考，</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lang w:bidi="ar"/>
        </w:rPr>
        <w:t> </w:t>
      </w:r>
      <w:r>
        <w:rPr>
          <w:rFonts w:ascii="楷体" w:hAnsi="楷体" w:eastAsia="楷体" w:cs="楷体"/>
          <w:b/>
          <w:bCs/>
          <w:sz w:val="32"/>
          <w:szCs w:val="32"/>
          <w:shd w:val="clear" w:color="auto" w:fill="FFFFFF"/>
          <w:lang w:bidi="ar"/>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pPr>
        <w:pStyle w:val="5"/>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9"/>
          <w:rFonts w:ascii="方正仿宋_GBK" w:hAnsi="方正仿宋_GBK" w:eastAsia="方正仿宋_GBK" w:cs="方正仿宋_GBK"/>
          <w:sz w:val="32"/>
          <w:szCs w:val="32"/>
          <w:shd w:val="clear" w:color="auto" w:fill="FFFFFF"/>
        </w:rPr>
        <w:t> </w:t>
      </w:r>
      <w:r>
        <w:rPr>
          <w:rStyle w:val="9"/>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5"/>
        <w:shd w:val="clear" w:color="auto" w:fill="FFFFFF"/>
        <w:rPr>
          <w:rStyle w:val="9"/>
          <w:rFonts w:hint="default" w:ascii="方正仿宋_GBK" w:hAnsi="方正仿宋_GBK" w:eastAsia="方正仿宋_GBK" w:cs="方正仿宋_GBK"/>
          <w:sz w:val="32"/>
          <w:szCs w:val="32"/>
          <w:shd w:val="clear" w:color="auto" w:fill="FFFFFF"/>
        </w:rPr>
      </w:pPr>
      <w:r>
        <w:rPr>
          <w:rStyle w:val="9"/>
          <w:rFonts w:ascii="方正仿宋_GBK" w:hAnsi="方正仿宋_GBK" w:eastAsia="方正仿宋_GBK" w:cs="方正仿宋_GBK"/>
          <w:sz w:val="32"/>
          <w:szCs w:val="32"/>
          <w:shd w:val="clear" w:color="auto" w:fill="FFFFFF"/>
        </w:rPr>
        <w:t xml:space="preserve">  </w:t>
      </w:r>
      <w:r>
        <w:rPr>
          <w:rStyle w:val="9"/>
          <w:rFonts w:ascii="黑体" w:hAnsi="黑体" w:eastAsia="黑体" w:cs="黑体"/>
          <w:sz w:val="32"/>
          <w:szCs w:val="32"/>
          <w:shd w:val="clear" w:color="auto" w:fill="FFFFFF"/>
        </w:rPr>
        <w:t>七、决算公开联系方式及信息反馈渠道</w:t>
      </w:r>
    </w:p>
    <w:p>
      <w:pPr>
        <w:pStyle w:val="5"/>
        <w:snapToGrid w:val="0"/>
        <w:spacing w:before="0" w:beforeAutospacing="0" w:after="0" w:afterAutospacing="0" w:line="600" w:lineRule="exact"/>
        <w:ind w:left="319" w:leftChars="133" w:firstLine="320" w:firstLineChars="100"/>
        <w:jc w:val="both"/>
        <w:rPr>
          <w:rFonts w:hint="default" w:ascii="方正仿宋_GBK" w:hAnsi="方正仿宋_GBK" w:eastAsia="方正仿宋_GBK" w:cs="方正仿宋_GBK"/>
          <w:sz w:val="32"/>
          <w:szCs w:val="32"/>
          <w:lang w:val="en-US" w:eastAsia="zh-CN"/>
        </w:rPr>
      </w:pPr>
      <w:r>
        <w:rPr>
          <w:rFonts w:ascii="方正仿宋_GBK" w:hAnsi="方正仿宋_GBK" w:eastAsia="方正仿宋_GBK" w:cs="方正仿宋_GBK"/>
          <w:sz w:val="32"/>
          <w:szCs w:val="32"/>
          <w:shd w:val="clear" w:color="auto" w:fill="FFFFFF"/>
        </w:rPr>
        <w:t>本单位决算公开信息反馈和联系方式：</w:t>
      </w:r>
      <w:r>
        <w:rPr>
          <w:rFonts w:hint="eastAsia" w:ascii="方正仿宋_GBK" w:hAnsi="方正仿宋_GBK" w:eastAsia="方正仿宋_GBK" w:cs="方正仿宋_GBK"/>
          <w:sz w:val="32"/>
          <w:szCs w:val="32"/>
          <w:shd w:val="clear" w:color="auto" w:fill="FFFFFF"/>
          <w:lang w:val="en-US" w:eastAsia="zh-CN"/>
        </w:rPr>
        <w:t>023-40233317</w:t>
      </w:r>
    </w:p>
    <w:p>
      <w:pPr>
        <w:pStyle w:val="10"/>
        <w:autoSpaceDE w:val="0"/>
        <w:ind w:firstLine="0" w:firstLineChars="0"/>
        <w:rPr>
          <w:rStyle w:val="9"/>
          <w:rFonts w:ascii="方正仿宋_GBK" w:hAnsi="方正仿宋_GBK" w:eastAsia="方正仿宋_GBK" w:cs="方正仿宋_GBK"/>
          <w:sz w:val="32"/>
          <w:szCs w:val="32"/>
          <w:shd w:val="clear" w:color="auto" w:fill="FFFF00"/>
        </w:rPr>
      </w:pPr>
    </w:p>
    <w:p>
      <w:pPr>
        <w:pStyle w:val="10"/>
        <w:autoSpaceDE w:val="0"/>
        <w:ind w:firstLine="0" w:firstLineChars="0"/>
        <w:rPr>
          <w:rStyle w:val="9"/>
          <w:rFonts w:ascii="方正仿宋_GBK" w:hAnsi="方正仿宋_GBK" w:eastAsia="方正仿宋_GBK" w:cs="方正仿宋_GBK"/>
          <w:sz w:val="32"/>
          <w:szCs w:val="32"/>
          <w:shd w:val="clear" w:color="auto" w:fill="FFFF00"/>
        </w:rPr>
      </w:pPr>
    </w:p>
    <w:p>
      <w:pPr>
        <w:pStyle w:val="10"/>
        <w:autoSpaceDE w:val="0"/>
        <w:ind w:firstLine="0" w:firstLineChars="0"/>
        <w:rPr>
          <w:rStyle w:val="9"/>
          <w:rFonts w:ascii="方正仿宋_GBK" w:hAnsi="方正仿宋_GBK" w:eastAsia="方正仿宋_GBK" w:cs="方正仿宋_GBK"/>
          <w:sz w:val="32"/>
          <w:szCs w:val="32"/>
          <w:shd w:val="clear" w:color="auto" w:fill="FFFF00"/>
        </w:rPr>
      </w:pPr>
    </w:p>
    <w:p>
      <w:pPr>
        <w:pStyle w:val="10"/>
        <w:autoSpaceDE w:val="0"/>
        <w:ind w:firstLine="0" w:firstLineChars="0"/>
        <w:rPr>
          <w:rStyle w:val="9"/>
          <w:rFonts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p>
    <w:p>
      <w:pPr>
        <w:rPr>
          <w:rFonts w:hint="default" w:cs="宋体"/>
          <w:sz w:val="21"/>
          <w:szCs w:val="21"/>
        </w:rPr>
      </w:pPr>
    </w:p>
    <w:tbl>
      <w:tblPr>
        <w:tblStyle w:val="6"/>
        <w:tblW w:w="22292" w:type="dxa"/>
        <w:tblInd w:w="0" w:type="dxa"/>
        <w:tblLayout w:type="fixed"/>
        <w:tblCellMar>
          <w:top w:w="0" w:type="dxa"/>
          <w:left w:w="0" w:type="dxa"/>
          <w:bottom w:w="0" w:type="dxa"/>
          <w:right w:w="0" w:type="dxa"/>
        </w:tblCellMar>
      </w:tblPr>
      <w:tblGrid>
        <w:gridCol w:w="6581"/>
        <w:gridCol w:w="4358"/>
        <w:gridCol w:w="7536"/>
        <w:gridCol w:w="3817"/>
      </w:tblGrid>
      <w:tr>
        <w:tblPrEx>
          <w:tblCellMar>
            <w:top w:w="0" w:type="dxa"/>
            <w:left w:w="0" w:type="dxa"/>
            <w:bottom w:w="0" w:type="dxa"/>
            <w:right w:w="0" w:type="dxa"/>
          </w:tblCellMar>
        </w:tblPrEx>
        <w:trPr>
          <w:trHeight w:val="565" w:hRule="atLeast"/>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收入支出决算总表</w:t>
            </w:r>
          </w:p>
        </w:tc>
      </w:tr>
      <w:tr>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4358" w:type="dxa"/>
            <w:tcBorders>
              <w:top w:val="nil"/>
              <w:left w:val="nil"/>
              <w:bottom w:val="nil"/>
              <w:right w:val="nil"/>
            </w:tcBorders>
            <w:shd w:val="clear" w:color="auto" w:fill="auto"/>
            <w:noWrap/>
            <w:tcMar>
              <w:top w:w="15" w:type="dxa"/>
              <w:left w:w="15" w:type="dxa"/>
              <w:right w:w="15" w:type="dxa"/>
            </w:tcMar>
            <w:vAlign w:val="bottom"/>
          </w:tcPr>
          <w:p>
            <w:pPr>
              <w:jc w:val="right"/>
              <w:rPr>
                <w:rFonts w:hint="default" w:ascii="Arial" w:hAnsi="Arial" w:cs="Arial"/>
                <w:color w:val="000000"/>
                <w:sz w:val="20"/>
                <w:szCs w:val="20"/>
              </w:rPr>
            </w:pPr>
          </w:p>
        </w:tc>
        <w:tc>
          <w:tcPr>
            <w:tcW w:w="7536"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817"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公开01表</w:t>
            </w:r>
          </w:p>
        </w:tc>
      </w:tr>
      <w:tr>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pPr>
              <w:textAlignment w:val="bottom"/>
              <w:rPr>
                <w:rFonts w:hint="default" w:cs="宋体"/>
                <w:color w:val="000000"/>
              </w:rPr>
            </w:pPr>
            <w:r>
              <w:rPr>
                <w:rFonts w:cs="宋体"/>
              </w:rPr>
              <w:t>公开单位：重庆市长寿区救助管理站</w:t>
            </w:r>
          </w:p>
        </w:tc>
        <w:tc>
          <w:tcPr>
            <w:tcW w:w="4358" w:type="dxa"/>
            <w:tcBorders>
              <w:top w:val="nil"/>
              <w:left w:val="nil"/>
              <w:bottom w:val="nil"/>
              <w:right w:val="nil"/>
            </w:tcBorders>
            <w:shd w:val="clear" w:color="auto" w:fill="auto"/>
            <w:noWrap/>
            <w:tcMar>
              <w:top w:w="15" w:type="dxa"/>
              <w:left w:w="15" w:type="dxa"/>
              <w:right w:w="15" w:type="dxa"/>
            </w:tcMar>
            <w:vAlign w:val="bottom"/>
          </w:tcPr>
          <w:p>
            <w:pPr>
              <w:jc w:val="right"/>
              <w:rPr>
                <w:rFonts w:hint="default" w:ascii="Arial" w:hAnsi="Arial" w:cs="Arial"/>
                <w:color w:val="000000"/>
                <w:sz w:val="22"/>
                <w:szCs w:val="22"/>
              </w:rPr>
            </w:pPr>
          </w:p>
        </w:tc>
        <w:tc>
          <w:tcPr>
            <w:tcW w:w="7536"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3817"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298" w:hRule="atLeast"/>
        </w:trPr>
        <w:tc>
          <w:tcPr>
            <w:tcW w:w="10939"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收入</w:t>
            </w:r>
          </w:p>
        </w:tc>
        <w:tc>
          <w:tcPr>
            <w:tcW w:w="11353"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支出</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w:t>
            </w:r>
          </w:p>
        </w:tc>
        <w:tc>
          <w:tcPr>
            <w:tcW w:w="435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决算数</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rPr>
              <w:t>功能分类科目</w:t>
            </w:r>
          </w:p>
        </w:tc>
        <w:tc>
          <w:tcPr>
            <w:tcW w:w="3817"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决算数</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一、一般公共预算财政拨款收入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298.01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一、一般公共服务支出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二、政府性基金预算财政拨款收入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二、外交支出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三、国有资本经营预算财政拨款收入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三、国防支出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四、上级补助收入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四、公共安全支出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五、事业收入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五、教育支出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0.93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六、经营收入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六、科学技术支出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七、附属单位上缴收入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七、文化旅游体育与传媒支出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八、其他收入</w:t>
            </w:r>
          </w:p>
        </w:tc>
        <w:tc>
          <w:tcPr>
            <w:tcW w:w="4358" w:type="dxa"/>
            <w:tcBorders>
              <w:top w:val="nil"/>
              <w:left w:val="nil"/>
              <w:bottom w:val="nil"/>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八、社会保障和就业支出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273.70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default" w:ascii="Arial" w:hAnsi="Arial" w:cs="Arial"/>
                <w:color w:val="000000"/>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九、卫生健康支出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11.70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default" w:ascii="Arial" w:hAnsi="Arial" w:cs="Arial"/>
                <w:color w:val="000000"/>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十、节能环保支出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default" w:ascii="Arial" w:hAnsi="Arial" w:cs="Arial"/>
                <w:color w:val="000000"/>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十一、城乡社区支出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default" w:ascii="Arial" w:hAnsi="Arial" w:cs="Arial"/>
                <w:color w:val="000000"/>
                <w:sz w:val="20"/>
                <w:szCs w:val="20"/>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十二、农林水支出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十三、交通运输支出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十四、资源勘探工业信息等支出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十五、商业服务业等支出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十六、金融支出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十七、援助其他地区支出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十八、自然资源海洋气象等支出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十九、住房保障支出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11.68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二十、粮油物资储备支出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二十一、国有资本经营预算支出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二十二、灾害防治及应急管理支出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二十三、其他支出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二十四、债务还本支出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二十五、债务付息支出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二十六、抗疫特别国债安排的支出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本年收入合计</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298.01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本年支出合计</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298.01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使用非财政拨款结余和专用结余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结余分配</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年初结转和结余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年末结转和结余</w:t>
            </w:r>
          </w:p>
        </w:tc>
        <w:tc>
          <w:tcPr>
            <w:tcW w:w="3817"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7"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总计</w:t>
            </w: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298.01 </w:t>
            </w:r>
          </w:p>
        </w:tc>
        <w:tc>
          <w:tcPr>
            <w:tcW w:w="7536"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总计</w:t>
            </w:r>
          </w:p>
        </w:tc>
        <w:tc>
          <w:tcPr>
            <w:tcW w:w="381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1"/>
                <w:szCs w:val="21"/>
                <w:lang w:bidi="ar"/>
              </w:rPr>
              <w:t xml:space="preserve">298.01 </w:t>
            </w:r>
          </w:p>
        </w:tc>
      </w:tr>
    </w:tbl>
    <w:p>
      <w:pPr>
        <w:rPr>
          <w:rFonts w:hint="default" w:cs="宋体"/>
          <w:sz w:val="21"/>
          <w:szCs w:val="21"/>
          <w:lang w:bidi="ar"/>
        </w:rPr>
      </w:pPr>
      <w:r>
        <w:rPr>
          <w:rFonts w:cs="宋体"/>
          <w:sz w:val="21"/>
          <w:szCs w:val="21"/>
          <w:lang w:bidi="ar"/>
        </w:rPr>
        <w:t>备注：1.本表反映单位本年度的总收支和年末结转结余情况。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pPr>
        <w:rPr>
          <w:rFonts w:hint="default" w:cs="宋体"/>
          <w:sz w:val="21"/>
          <w:szCs w:val="21"/>
          <w:lang w:bidi="ar"/>
        </w:rPr>
      </w:pPr>
      <w:r>
        <w:rPr>
          <w:rFonts w:cs="宋体"/>
          <w:sz w:val="21"/>
          <w:szCs w:val="21"/>
          <w:lang w:bidi="ar"/>
        </w:rPr>
        <w:br w:type="page"/>
      </w:r>
    </w:p>
    <w:p>
      <w:pPr>
        <w:rPr>
          <w:rFonts w:hint="default" w:cs="宋体"/>
          <w:sz w:val="21"/>
          <w:szCs w:val="21"/>
          <w:lang w:bidi="ar"/>
        </w:rPr>
      </w:pPr>
    </w:p>
    <w:tbl>
      <w:tblPr>
        <w:tblStyle w:val="6"/>
        <w:tblW w:w="22220" w:type="dxa"/>
        <w:tblInd w:w="0" w:type="dxa"/>
        <w:tblLayout w:type="fixed"/>
        <w:tblCellMar>
          <w:top w:w="0" w:type="dxa"/>
          <w:left w:w="0" w:type="dxa"/>
          <w:bottom w:w="0" w:type="dxa"/>
          <w:right w:w="0" w:type="dxa"/>
        </w:tblCellMar>
      </w:tblPr>
      <w:tblGrid>
        <w:gridCol w:w="1941"/>
        <w:gridCol w:w="3317"/>
        <w:gridCol w:w="2412"/>
        <w:gridCol w:w="2399"/>
        <w:gridCol w:w="1963"/>
        <w:gridCol w:w="1963"/>
        <w:gridCol w:w="1963"/>
        <w:gridCol w:w="1963"/>
        <w:gridCol w:w="1963"/>
        <w:gridCol w:w="2336"/>
      </w:tblGrid>
      <w:tr>
        <w:tblPrEx>
          <w:tblCellMar>
            <w:top w:w="0" w:type="dxa"/>
            <w:left w:w="0" w:type="dxa"/>
            <w:bottom w:w="0" w:type="dxa"/>
            <w:right w:w="0" w:type="dxa"/>
          </w:tblCellMar>
        </w:tblPrEx>
        <w:trPr>
          <w:trHeight w:val="641" w:hRule="atLeast"/>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收入决算表</w:t>
            </w:r>
          </w:p>
        </w:tc>
      </w:tr>
      <w:tr>
        <w:tblPrEx>
          <w:tblCellMar>
            <w:top w:w="0" w:type="dxa"/>
            <w:left w:w="0" w:type="dxa"/>
            <w:bottom w:w="0" w:type="dxa"/>
            <w:right w:w="0" w:type="dxa"/>
          </w:tblCellMar>
        </w:tblPrEx>
        <w:trPr>
          <w:trHeight w:val="328" w:hRule="atLeast"/>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r>
              <w:rPr>
                <w:rFonts w:cs="宋体"/>
              </w:rPr>
              <w:t>公开单位：重庆市长寿区救助管理站</w:t>
            </w:r>
          </w:p>
        </w:tc>
        <w:tc>
          <w:tcPr>
            <w:tcW w:w="241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39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336"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公开02表</w:t>
            </w:r>
          </w:p>
        </w:tc>
      </w:tr>
      <w:tr>
        <w:tblPrEx>
          <w:tblCellMar>
            <w:top w:w="0" w:type="dxa"/>
            <w:left w:w="0" w:type="dxa"/>
            <w:bottom w:w="0" w:type="dxa"/>
            <w:right w:w="0" w:type="dxa"/>
          </w:tblCellMar>
        </w:tblPrEx>
        <w:trPr>
          <w:trHeight w:val="328" w:hRule="atLeast"/>
        </w:trPr>
        <w:tc>
          <w:tcPr>
            <w:tcW w:w="5258" w:type="dxa"/>
            <w:gridSpan w:val="2"/>
            <w:vMerge w:val="continue"/>
            <w:tcBorders>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41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39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196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336"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431" w:hRule="atLeast"/>
        </w:trPr>
        <w:tc>
          <w:tcPr>
            <w:tcW w:w="5258"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2"/>
                <w:szCs w:val="22"/>
              </w:rPr>
            </w:pPr>
            <w:r>
              <w:rPr>
                <w:rFonts w:cs="宋体"/>
                <w:b/>
                <w:color w:val="000000"/>
                <w:sz w:val="22"/>
                <w:szCs w:val="22"/>
                <w:lang w:bidi="ar"/>
              </w:rPr>
              <w:t>项目</w:t>
            </w:r>
          </w:p>
        </w:tc>
        <w:tc>
          <w:tcPr>
            <w:tcW w:w="2412"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本年收入合计</w:t>
            </w:r>
          </w:p>
        </w:tc>
        <w:tc>
          <w:tcPr>
            <w:tcW w:w="239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财政拨款收入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上级补助收入</w:t>
            </w:r>
          </w:p>
        </w:tc>
        <w:tc>
          <w:tcPr>
            <w:tcW w:w="3926"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2"/>
                <w:szCs w:val="22"/>
              </w:rPr>
            </w:pPr>
            <w:r>
              <w:rPr>
                <w:rFonts w:cs="宋体"/>
                <w:b/>
                <w:color w:val="000000"/>
                <w:sz w:val="22"/>
                <w:szCs w:val="22"/>
                <w:lang w:bidi="ar"/>
              </w:rPr>
              <w:t>事业收入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经营收入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附属单位上缴收入</w:t>
            </w:r>
          </w:p>
        </w:tc>
        <w:tc>
          <w:tcPr>
            <w:tcW w:w="23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其他收入</w:t>
            </w:r>
          </w:p>
        </w:tc>
      </w:tr>
      <w:tr>
        <w:tblPrEx>
          <w:tblCellMar>
            <w:top w:w="0" w:type="dxa"/>
            <w:left w:w="0" w:type="dxa"/>
            <w:bottom w:w="0" w:type="dxa"/>
            <w:right w:w="0" w:type="dxa"/>
          </w:tblCellMar>
        </w:tblPrEx>
        <w:trPr>
          <w:trHeight w:val="334" w:hRule="atLeast"/>
        </w:trPr>
        <w:tc>
          <w:tcPr>
            <w:tcW w:w="1941"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功能分类科目编码</w:t>
            </w:r>
          </w:p>
        </w:tc>
        <w:tc>
          <w:tcPr>
            <w:tcW w:w="3317"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项目（按“项”级功能分类科目）</w:t>
            </w: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小计</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其中：教育收费</w:t>
            </w: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8" w:hRule="atLeast"/>
        </w:trPr>
        <w:tc>
          <w:tcPr>
            <w:tcW w:w="52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合计</w:t>
            </w:r>
          </w:p>
        </w:tc>
        <w:tc>
          <w:tcPr>
            <w:tcW w:w="24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298.01 </w:t>
            </w:r>
          </w:p>
        </w:tc>
        <w:tc>
          <w:tcPr>
            <w:tcW w:w="23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298.01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2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教育支出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0.93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0.93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20508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进修及培训</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0.93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0.93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2050803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培训支出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0.93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0.93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社会保障和就业支出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273.70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273.70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45.50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45.50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机关事业单位基本养老保险缴费支出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12.69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12.69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机关事业单位职业年金缴费支出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7.14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7.14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其他行政事业单位养老支出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25.67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25.67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抚恤</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22.05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22.05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2080801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死亡抚恤</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22.05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22.05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20820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临时救助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206.15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206.15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2082002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流浪乞讨人员救助支出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206.15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206.15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卫生健康支出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11.70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11.70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21011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行政事业单位医疗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11.70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11.70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2101101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行政单位医疗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8.78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8.78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2101103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公务员医疗补助</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2.92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2.92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221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住房保障支出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11.68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11.68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22102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住房改革支出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11.68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11.68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2210201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住房公积金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11.68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11.68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bl>
    <w:p>
      <w:pPr>
        <w:ind w:left="630" w:hanging="630" w:hangingChars="300"/>
        <w:rPr>
          <w:rFonts w:hint="default" w:cs="宋体"/>
          <w:sz w:val="21"/>
          <w:szCs w:val="21"/>
          <w:lang w:bidi="ar"/>
        </w:rPr>
      </w:pPr>
      <w:r>
        <w:rPr>
          <w:rFonts w:cs="宋体"/>
          <w:sz w:val="21"/>
          <w:szCs w:val="21"/>
          <w:lang w:bidi="ar"/>
        </w:rPr>
        <w:t>备注：1.本表反映单位本年度取得的各项收入情况。</w:t>
      </w:r>
      <w:r>
        <w:rPr>
          <w:rFonts w:cs="宋体"/>
          <w:sz w:val="21"/>
          <w:szCs w:val="21"/>
          <w:lang w:bidi="ar"/>
        </w:rPr>
        <w:br w:type="textWrapping"/>
      </w:r>
      <w:r>
        <w:rPr>
          <w:rFonts w:cs="宋体"/>
          <w:sz w:val="21"/>
          <w:szCs w:val="21"/>
          <w:lang w:bidi="ar"/>
        </w:rPr>
        <w:t>2.本套报表金额单位转换时可能存在尾数误差。</w:t>
      </w:r>
      <w:r>
        <w:rPr>
          <w:rFonts w:cs="宋体"/>
          <w:sz w:val="21"/>
          <w:szCs w:val="21"/>
          <w:lang w:bidi="ar"/>
        </w:rPr>
        <w:br w:type="textWrapping"/>
      </w:r>
      <w:r>
        <w:rPr>
          <w:rFonts w:cs="宋体"/>
          <w:sz w:val="21"/>
          <w:szCs w:val="21"/>
          <w:lang w:bidi="ar"/>
        </w:rPr>
        <w:br w:type="textWrapping"/>
      </w:r>
    </w:p>
    <w:p>
      <w:pPr>
        <w:rPr>
          <w:rFonts w:hint="default" w:cs="宋体"/>
          <w:sz w:val="21"/>
          <w:szCs w:val="21"/>
          <w:lang w:bidi="ar"/>
        </w:rPr>
      </w:pPr>
      <w:r>
        <w:rPr>
          <w:rFonts w:cs="宋体"/>
          <w:sz w:val="21"/>
          <w:szCs w:val="21"/>
          <w:lang w:bidi="ar"/>
        </w:rPr>
        <w:br w:type="page"/>
      </w:r>
    </w:p>
    <w:p>
      <w:pPr>
        <w:ind w:left="630" w:hanging="630" w:hangingChars="300"/>
        <w:rPr>
          <w:rFonts w:hint="default" w:cs="宋体"/>
          <w:sz w:val="21"/>
          <w:szCs w:val="21"/>
          <w:lang w:bidi="ar"/>
        </w:rPr>
      </w:pPr>
    </w:p>
    <w:tbl>
      <w:tblPr>
        <w:tblStyle w:val="6"/>
        <w:tblW w:w="22180" w:type="dxa"/>
        <w:tblInd w:w="0" w:type="dxa"/>
        <w:tblLayout w:type="fixed"/>
        <w:tblCellMar>
          <w:top w:w="0" w:type="dxa"/>
          <w:left w:w="0" w:type="dxa"/>
          <w:bottom w:w="0" w:type="dxa"/>
          <w:right w:w="0" w:type="dxa"/>
        </w:tblCellMar>
      </w:tblPr>
      <w:tblGrid>
        <w:gridCol w:w="2082"/>
        <w:gridCol w:w="3528"/>
        <w:gridCol w:w="2760"/>
        <w:gridCol w:w="2760"/>
        <w:gridCol w:w="2760"/>
        <w:gridCol w:w="2760"/>
        <w:gridCol w:w="2760"/>
        <w:gridCol w:w="2770"/>
      </w:tblGrid>
      <w:tr>
        <w:tblPrEx>
          <w:tblCellMar>
            <w:top w:w="0" w:type="dxa"/>
            <w:left w:w="0" w:type="dxa"/>
            <w:bottom w:w="0" w:type="dxa"/>
            <w:right w:w="0" w:type="dxa"/>
          </w:tblCellMar>
        </w:tblPrEx>
        <w:trPr>
          <w:trHeight w:val="654" w:hRule="atLeast"/>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支出决算表</w:t>
            </w:r>
          </w:p>
        </w:tc>
      </w:tr>
      <w:tr>
        <w:tblPrEx>
          <w:tblCellMar>
            <w:top w:w="0" w:type="dxa"/>
            <w:left w:w="0" w:type="dxa"/>
            <w:bottom w:w="0" w:type="dxa"/>
            <w:right w:w="0" w:type="dxa"/>
          </w:tblCellMar>
        </w:tblPrEx>
        <w:trPr>
          <w:trHeight w:val="342" w:hRule="atLeast"/>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 xml:space="preserve">重庆市长寿区救助管理站 </w:t>
            </w: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770"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公开03表</w:t>
            </w:r>
          </w:p>
        </w:tc>
      </w:tr>
      <w:tr>
        <w:tblPrEx>
          <w:tblCellMar>
            <w:top w:w="0" w:type="dxa"/>
            <w:left w:w="0" w:type="dxa"/>
            <w:bottom w:w="0" w:type="dxa"/>
            <w:right w:w="0" w:type="dxa"/>
          </w:tblCellMar>
        </w:tblPrEx>
        <w:trPr>
          <w:trHeight w:val="342" w:hRule="atLeast"/>
        </w:trPr>
        <w:tc>
          <w:tcPr>
            <w:tcW w:w="5610" w:type="dxa"/>
            <w:gridSpan w:val="2"/>
            <w:vMerge w:val="continue"/>
            <w:tcBorders>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76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770"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2"/>
                <w:szCs w:val="22"/>
              </w:rPr>
            </w:pPr>
            <w:r>
              <w:rPr>
                <w:rFonts w:cs="宋体"/>
                <w:b/>
                <w:color w:val="000000"/>
                <w:sz w:val="22"/>
                <w:szCs w:val="22"/>
                <w:lang w:bidi="ar"/>
              </w:rPr>
              <w:t>项目</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本年支出合计</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基本支出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上缴上级支出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经营支出</w:t>
            </w:r>
          </w:p>
        </w:tc>
        <w:tc>
          <w:tcPr>
            <w:tcW w:w="277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对附属单位补助支出</w:t>
            </w:r>
          </w:p>
        </w:tc>
      </w:tr>
      <w:tr>
        <w:tblPrEx>
          <w:tblCellMar>
            <w:top w:w="0" w:type="dxa"/>
            <w:left w:w="0" w:type="dxa"/>
            <w:bottom w:w="0" w:type="dxa"/>
            <w:right w:w="0" w:type="dxa"/>
          </w:tblCellMar>
        </w:tblPrEx>
        <w:trPr>
          <w:trHeight w:val="338" w:hRule="atLeast"/>
        </w:trPr>
        <w:tc>
          <w:tcPr>
            <w:tcW w:w="208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功能分类科目编码</w:t>
            </w:r>
          </w:p>
        </w:tc>
        <w:tc>
          <w:tcPr>
            <w:tcW w:w="3528"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项目（按“项”级功能分类科目）</w:t>
            </w: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合计</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298.01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203.72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94.30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27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教育支出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0.93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0.93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20508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进修及培训</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0.93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0.93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2050803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培训支出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0.93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0.93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社会保障和就业支出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273.70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179.41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94.30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45.50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43.55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1.95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机关事业单位基本养老保险缴费支出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12.69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12.69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机关事业单位职业年金缴费支出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7.14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7.14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其他行政事业单位养老支出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25.67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23.72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1.95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抚恤</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22.05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22.05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2080801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死亡抚恤</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22.05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22.05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20820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临时救助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206.15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135.86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70.29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2082002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流浪乞讨人员救助支出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206.15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135.86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70.29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卫生健康支出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21011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行政事业单位医疗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11.70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2101101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行政单位医疗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8.78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8.78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2101103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公务员医疗补助</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2.92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2.92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221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住房保障支出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11.68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11.68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22102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住房改革支出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11.68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b/>
                <w:color w:val="000000"/>
                <w:sz w:val="21"/>
                <w:szCs w:val="21"/>
                <w:lang w:bidi="ar"/>
              </w:rPr>
              <w:t xml:space="preserve">11.68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2210201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住房公积金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11.68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11.68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18"/>
                <w:szCs w:val="18"/>
              </w:rPr>
            </w:pPr>
            <w:r>
              <w:rPr>
                <w:rFonts w:cs="宋体"/>
                <w:color w:val="000000"/>
                <w:sz w:val="21"/>
                <w:szCs w:val="21"/>
                <w:lang w:bidi="ar"/>
              </w:rPr>
              <w:t xml:space="preserve"> </w:t>
            </w:r>
          </w:p>
        </w:tc>
      </w:tr>
    </w:tbl>
    <w:p>
      <w:pPr>
        <w:rPr>
          <w:rFonts w:hint="default" w:cs="宋体"/>
          <w:sz w:val="21"/>
          <w:szCs w:val="21"/>
        </w:rPr>
      </w:pPr>
      <w:r>
        <w:rPr>
          <w:rFonts w:cs="宋体"/>
          <w:sz w:val="21"/>
          <w:szCs w:val="21"/>
          <w:lang w:bidi="ar"/>
        </w:rPr>
        <w:t>备注：1.本表反映单位本年度各项支出情况。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pPr>
        <w:rPr>
          <w:rFonts w:hint="default" w:cs="宋体"/>
          <w:sz w:val="21"/>
          <w:szCs w:val="21"/>
          <w:lang w:bidi="ar"/>
        </w:rPr>
      </w:pPr>
      <w:r>
        <w:rPr>
          <w:rFonts w:cs="宋体"/>
          <w:sz w:val="21"/>
          <w:szCs w:val="21"/>
          <w:lang w:bidi="ar"/>
        </w:rPr>
        <w:br w:type="page"/>
      </w:r>
    </w:p>
    <w:p>
      <w:pPr>
        <w:rPr>
          <w:rFonts w:hint="default" w:cs="宋体"/>
          <w:sz w:val="21"/>
          <w:szCs w:val="21"/>
          <w:lang w:bidi="ar"/>
        </w:rPr>
      </w:pPr>
    </w:p>
    <w:tbl>
      <w:tblPr>
        <w:tblStyle w:val="6"/>
        <w:tblW w:w="22360" w:type="dxa"/>
        <w:tblInd w:w="0" w:type="dxa"/>
        <w:tblLayout w:type="fixed"/>
        <w:tblCellMar>
          <w:top w:w="0" w:type="dxa"/>
          <w:left w:w="0" w:type="dxa"/>
          <w:bottom w:w="0" w:type="dxa"/>
          <w:right w:w="0" w:type="dxa"/>
        </w:tblCellMar>
      </w:tblPr>
      <w:tblGrid>
        <w:gridCol w:w="4068"/>
        <w:gridCol w:w="2674"/>
        <w:gridCol w:w="3752"/>
        <w:gridCol w:w="2952"/>
        <w:gridCol w:w="2952"/>
        <w:gridCol w:w="2952"/>
        <w:gridCol w:w="3010"/>
      </w:tblGrid>
      <w:tr>
        <w:tblPrEx>
          <w:tblCellMar>
            <w:top w:w="0" w:type="dxa"/>
            <w:left w:w="0" w:type="dxa"/>
            <w:bottom w:w="0" w:type="dxa"/>
            <w:right w:w="0" w:type="dxa"/>
          </w:tblCellMar>
        </w:tblPrEx>
        <w:trPr>
          <w:trHeight w:val="90" w:hRule="atLeast"/>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财政拨款收入支出决算总表</w:t>
            </w:r>
          </w:p>
        </w:tc>
      </w:tr>
      <w:tr>
        <w:tblPrEx>
          <w:tblCellMar>
            <w:top w:w="0" w:type="dxa"/>
            <w:left w:w="0" w:type="dxa"/>
            <w:bottom w:w="0" w:type="dxa"/>
            <w:right w:w="0" w:type="dxa"/>
          </w:tblCellMar>
        </w:tblPrEx>
        <w:trPr>
          <w:trHeight w:val="90" w:hRule="atLeast"/>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重庆市长寿区救助管理站</w:t>
            </w:r>
          </w:p>
        </w:tc>
        <w:tc>
          <w:tcPr>
            <w:tcW w:w="375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95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010"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公开04表</w:t>
            </w:r>
          </w:p>
        </w:tc>
      </w:tr>
      <w:tr>
        <w:tblPrEx>
          <w:tblCellMar>
            <w:top w:w="0" w:type="dxa"/>
            <w:left w:w="0" w:type="dxa"/>
            <w:bottom w:w="0" w:type="dxa"/>
            <w:right w:w="0" w:type="dxa"/>
          </w:tblCellMar>
        </w:tblPrEx>
        <w:trPr>
          <w:trHeight w:val="90" w:hRule="atLeast"/>
        </w:trPr>
        <w:tc>
          <w:tcPr>
            <w:tcW w:w="6742" w:type="dxa"/>
            <w:gridSpan w:val="2"/>
            <w:vMerge w:val="continue"/>
            <w:tcBorders>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375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95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3010"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90" w:hRule="atLeast"/>
        </w:trPr>
        <w:tc>
          <w:tcPr>
            <w:tcW w:w="67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收     入</w:t>
            </w:r>
          </w:p>
        </w:tc>
        <w:tc>
          <w:tcPr>
            <w:tcW w:w="15618"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支     出</w:t>
            </w:r>
          </w:p>
        </w:tc>
      </w:tr>
      <w:tr>
        <w:tblPrEx>
          <w:tblCellMar>
            <w:top w:w="0" w:type="dxa"/>
            <w:left w:w="0" w:type="dxa"/>
            <w:bottom w:w="0" w:type="dxa"/>
            <w:right w:w="0" w:type="dxa"/>
          </w:tblCellMar>
        </w:tblPrEx>
        <w:trPr>
          <w:trHeight w:val="90" w:hRule="atLeast"/>
        </w:trPr>
        <w:tc>
          <w:tcPr>
            <w:tcW w:w="406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w:t>
            </w:r>
          </w:p>
        </w:tc>
        <w:tc>
          <w:tcPr>
            <w:tcW w:w="267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决算数</w:t>
            </w:r>
          </w:p>
        </w:tc>
        <w:tc>
          <w:tcPr>
            <w:tcW w:w="375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功能分类科目</w:t>
            </w:r>
          </w:p>
        </w:tc>
        <w:tc>
          <w:tcPr>
            <w:tcW w:w="1186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决算数</w:t>
            </w:r>
          </w:p>
        </w:tc>
      </w:tr>
      <w:tr>
        <w:tblPrEx>
          <w:tblCellMar>
            <w:top w:w="0" w:type="dxa"/>
            <w:left w:w="0" w:type="dxa"/>
            <w:bottom w:w="0" w:type="dxa"/>
            <w:right w:w="0" w:type="dxa"/>
          </w:tblCellMar>
        </w:tblPrEx>
        <w:trPr>
          <w:trHeight w:val="90" w:hRule="atLeast"/>
        </w:trPr>
        <w:tc>
          <w:tcPr>
            <w:tcW w:w="406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67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375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小计</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一般公共预算财政拨款</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政府性基金预算财政拨款</w:t>
            </w:r>
          </w:p>
        </w:tc>
        <w:tc>
          <w:tcPr>
            <w:tcW w:w="301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国有资本经营预算财政拨款</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一、一般公共预算财政拨款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298.01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一、一般公共服务支出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二、外交支出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三、国有资本经营预算财政拨款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三、国防支出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四、公共安全支出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五、教育支出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0.93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0.93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六、科学技术支出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七、文化旅游体育与传媒支出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八、社会保障和就业支出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273.70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273.70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九、卫生健康支出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11.70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11.70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十、节能环保支出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十一、城乡社区支出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十二、农林水支出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十三、交通运输支出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十四、资源勘探工业信息等支出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十五、商业服务业等支出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十六、金融支出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十七、援助其他地区支出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十八、自然资源海洋气象等支出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十九、住房保障支出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11.68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11.68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二十、粮油物资储备支出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二十一、国有资本经营预算支出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二十二、灾害防治及应急管理支出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二十三、其他支出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rPr>
                <w:rFonts w:hint="default" w:ascii="Arial" w:hAnsi="Arial" w:cs="Arial"/>
                <w:color w:val="000000"/>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二十四、债务还本支出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rPr>
                <w:rFonts w:hint="default" w:ascii="Arial" w:hAnsi="Arial" w:cs="Arial"/>
                <w:color w:val="000000"/>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二十五、债务付息支出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rPr>
                <w:rFonts w:hint="default" w:ascii="Arial" w:hAnsi="Arial" w:cs="Arial"/>
                <w:color w:val="000000"/>
                <w:sz w:val="20"/>
                <w:szCs w:val="20"/>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ascii="Arial" w:hAnsi="Arial" w:cs="Arial"/>
                <w:color w:val="000000"/>
                <w:sz w:val="20"/>
                <w:szCs w:val="20"/>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二十六、抗疫特别国债安排的支出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本年收入合计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298.01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本年支出合计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298.01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298.01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年初财政拨款结转和结余</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年末财政拨款结转和结余</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rPr>
                <w:rFonts w:hint="default" w:ascii="Arial" w:hAnsi="Arial" w:cs="Arial"/>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2"/>
                <w:szCs w:val="22"/>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0"/>
                <w:szCs w:val="20"/>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0"/>
                <w:szCs w:val="20"/>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r>
      <w:tr>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总计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298.01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总计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1"/>
                <w:szCs w:val="21"/>
                <w:lang w:bidi="ar"/>
              </w:rPr>
              <w:t xml:space="preserve">298.01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1"/>
                <w:szCs w:val="21"/>
                <w:lang w:bidi="ar"/>
              </w:rPr>
              <w:t xml:space="preserve">298.01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1"/>
                <w:szCs w:val="21"/>
                <w:lang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bl>
    <w:p>
      <w:pPr>
        <w:rPr>
          <w:rFonts w:hint="default" w:cs="宋体"/>
          <w:sz w:val="21"/>
          <w:szCs w:val="21"/>
        </w:rPr>
      </w:pPr>
      <w:r>
        <w:rPr>
          <w:rFonts w:cs="宋体"/>
          <w:sz w:val="21"/>
          <w:szCs w:val="21"/>
          <w:lang w:bidi="ar"/>
        </w:rPr>
        <w:t>备注：1.本表反映单位本年度一般公共预算财政拨款、政府性基金预算财政拨款及国有资本经营预算财政拨款的总收支和年末结转结余情况。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pPr>
        <w:rPr>
          <w:rFonts w:hint="default" w:cs="宋体"/>
          <w:sz w:val="21"/>
          <w:szCs w:val="21"/>
        </w:rPr>
      </w:pPr>
      <w:r>
        <w:rPr>
          <w:rFonts w:cs="宋体"/>
          <w:sz w:val="21"/>
          <w:szCs w:val="21"/>
        </w:rPr>
        <w:br w:type="page"/>
      </w:r>
    </w:p>
    <w:tbl>
      <w:tblPr>
        <w:tblStyle w:val="6"/>
        <w:tblW w:w="22300" w:type="dxa"/>
        <w:tblInd w:w="0" w:type="dxa"/>
        <w:tblLayout w:type="fixed"/>
        <w:tblCellMar>
          <w:top w:w="0" w:type="dxa"/>
          <w:left w:w="0" w:type="dxa"/>
          <w:bottom w:w="0" w:type="dxa"/>
          <w:right w:w="0" w:type="dxa"/>
        </w:tblCellMar>
      </w:tblPr>
      <w:tblGrid>
        <w:gridCol w:w="2694"/>
        <w:gridCol w:w="5151"/>
        <w:gridCol w:w="4817"/>
        <w:gridCol w:w="4817"/>
        <w:gridCol w:w="4821"/>
      </w:tblGrid>
      <w:tr>
        <w:tblPrEx>
          <w:tblCellMar>
            <w:top w:w="0" w:type="dxa"/>
            <w:left w:w="0" w:type="dxa"/>
            <w:bottom w:w="0" w:type="dxa"/>
            <w:right w:w="0" w:type="dxa"/>
          </w:tblCellMar>
        </w:tblPrEx>
        <w:trPr>
          <w:trHeight w:val="510" w:hRule="atLeast"/>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一般公共预算财政拨款支出决算表</w:t>
            </w:r>
          </w:p>
        </w:tc>
      </w:tr>
      <w:tr>
        <w:tblPrEx>
          <w:tblCellMar>
            <w:top w:w="0" w:type="dxa"/>
            <w:left w:w="0" w:type="dxa"/>
            <w:bottom w:w="0" w:type="dxa"/>
            <w:right w:w="0" w:type="dxa"/>
          </w:tblCellMar>
        </w:tblPrEx>
        <w:trPr>
          <w:trHeight w:val="255" w:hRule="atLeast"/>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重庆市长寿区救助管理站</w:t>
            </w:r>
          </w:p>
        </w:tc>
        <w:tc>
          <w:tcPr>
            <w:tcW w:w="481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481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4821"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公开05表</w:t>
            </w:r>
          </w:p>
        </w:tc>
      </w:tr>
      <w:tr>
        <w:tblPrEx>
          <w:tblCellMar>
            <w:top w:w="0" w:type="dxa"/>
            <w:left w:w="0" w:type="dxa"/>
            <w:bottom w:w="0" w:type="dxa"/>
            <w:right w:w="0" w:type="dxa"/>
          </w:tblCellMar>
        </w:tblPrEx>
        <w:trPr>
          <w:trHeight w:val="285" w:hRule="atLeast"/>
        </w:trPr>
        <w:tc>
          <w:tcPr>
            <w:tcW w:w="7845" w:type="dxa"/>
            <w:gridSpan w:val="2"/>
            <w:vMerge w:val="continue"/>
            <w:tcBorders>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481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4821"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308" w:hRule="atLeast"/>
        </w:trPr>
        <w:tc>
          <w:tcPr>
            <w:tcW w:w="7845"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w:t>
            </w:r>
          </w:p>
        </w:tc>
        <w:tc>
          <w:tcPr>
            <w:tcW w:w="14455"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本年支出</w:t>
            </w:r>
          </w:p>
        </w:tc>
      </w:tr>
      <w:tr>
        <w:tblPrEx>
          <w:tblCellMar>
            <w:top w:w="0" w:type="dxa"/>
            <w:left w:w="0" w:type="dxa"/>
            <w:bottom w:w="0" w:type="dxa"/>
            <w:right w:w="0" w:type="dxa"/>
          </w:tblCellMar>
        </w:tblPrEx>
        <w:trPr>
          <w:trHeight w:val="312" w:hRule="atLeast"/>
        </w:trPr>
        <w:tc>
          <w:tcPr>
            <w:tcW w:w="2694"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功能分类科目编码</w:t>
            </w:r>
          </w:p>
        </w:tc>
        <w:tc>
          <w:tcPr>
            <w:tcW w:w="515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项目（按“项”级功能分类科目）</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合计</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基本支出</w:t>
            </w:r>
          </w:p>
        </w:tc>
        <w:tc>
          <w:tcPr>
            <w:tcW w:w="482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项目支出</w:t>
            </w:r>
          </w:p>
        </w:tc>
      </w:tr>
      <w:tr>
        <w:tblPrEx>
          <w:tblCellMar>
            <w:top w:w="0" w:type="dxa"/>
            <w:left w:w="0" w:type="dxa"/>
            <w:bottom w:w="0" w:type="dxa"/>
            <w:right w:w="0" w:type="dxa"/>
          </w:tblCellMar>
        </w:tblPrEx>
        <w:trPr>
          <w:trHeight w:val="312"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615"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08" w:hRule="atLeast"/>
        </w:trPr>
        <w:tc>
          <w:tcPr>
            <w:tcW w:w="7845"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合计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298.01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203.72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94.30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教育支出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0.93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0.93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20508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进修及培训</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0.93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0.93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2050803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培训支出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0.93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0.93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社会保障和就业支出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273.70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179.41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94.30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45.50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43.55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1.95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机关事业单位基本养老保险缴费支出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12.69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12.69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机关事业单位职业年金缴费支出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7.14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7.14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2080599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其他行政事业单位养老支出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25.67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23.72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1.95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抚恤</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22.05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22.05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2080801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死亡抚恤</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22.05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22.05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20820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临时救助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206.15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135.86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70.29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2082002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流浪乞讨人员救助支出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206.15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135.86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70.29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卫生健康支出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11.70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11.70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21011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行政事业单位医疗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11.70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11.70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2101101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行政单位医疗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8.78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8.78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2101103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公务员医疗补助</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2.92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2.92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221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住房保障支出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11.68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11.68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22102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b/>
                <w:color w:val="000000"/>
                <w:sz w:val="21"/>
                <w:szCs w:val="21"/>
                <w:lang w:bidi="ar"/>
              </w:rPr>
              <w:t>住房改革支出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11.68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color w:val="000000"/>
                <w:sz w:val="21"/>
                <w:szCs w:val="21"/>
                <w:lang w:bidi="ar"/>
              </w:rPr>
              <w:t xml:space="preserve">11.68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2210201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1"/>
                <w:szCs w:val="21"/>
                <w:lang w:bidi="ar"/>
              </w:rPr>
              <w:t>住房公积金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11.68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11.68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color w:val="000000"/>
                <w:sz w:val="21"/>
                <w:szCs w:val="21"/>
                <w:lang w:bidi="ar"/>
              </w:rPr>
              <w:t xml:space="preserve"> </w:t>
            </w:r>
          </w:p>
        </w:tc>
      </w:tr>
    </w:tbl>
    <w:p>
      <w:pPr>
        <w:rPr>
          <w:rFonts w:hint="default" w:cs="宋体"/>
          <w:sz w:val="21"/>
          <w:szCs w:val="21"/>
        </w:rPr>
      </w:pPr>
      <w:r>
        <w:rPr>
          <w:rFonts w:cs="宋体"/>
          <w:sz w:val="21"/>
          <w:szCs w:val="21"/>
          <w:lang w:bidi="ar"/>
        </w:rPr>
        <w:t>备注：1.本表反映单位本年度一般公共预算财政拨款支出情况。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pPr>
        <w:ind w:firstLine="630" w:firstLineChars="300"/>
        <w:rPr>
          <w:rFonts w:hint="default" w:cs="宋体"/>
          <w:sz w:val="21"/>
          <w:szCs w:val="21"/>
        </w:rPr>
      </w:pPr>
      <w:r>
        <w:rPr>
          <w:rFonts w:cs="宋体"/>
          <w:sz w:val="21"/>
          <w:szCs w:val="21"/>
        </w:rPr>
        <w:br w:type="page"/>
      </w:r>
    </w:p>
    <w:tbl>
      <w:tblPr>
        <w:tblStyle w:val="6"/>
        <w:tblW w:w="22280" w:type="dxa"/>
        <w:tblInd w:w="0" w:type="dxa"/>
        <w:tblLayout w:type="fixed"/>
        <w:tblCellMar>
          <w:top w:w="0" w:type="dxa"/>
          <w:left w:w="0" w:type="dxa"/>
          <w:bottom w:w="0" w:type="dxa"/>
          <w:right w:w="0" w:type="dxa"/>
        </w:tblCellMar>
      </w:tblPr>
      <w:tblGrid>
        <w:gridCol w:w="1289"/>
        <w:gridCol w:w="3495"/>
        <w:gridCol w:w="2829"/>
        <w:gridCol w:w="1122"/>
        <w:gridCol w:w="2330"/>
        <w:gridCol w:w="2747"/>
        <w:gridCol w:w="1509"/>
        <w:gridCol w:w="4465"/>
        <w:gridCol w:w="2494"/>
      </w:tblGrid>
      <w:tr>
        <w:tblPrEx>
          <w:tblCellMar>
            <w:top w:w="0" w:type="dxa"/>
            <w:left w:w="0" w:type="dxa"/>
            <w:bottom w:w="0" w:type="dxa"/>
            <w:right w:w="0" w:type="dxa"/>
          </w:tblCellMar>
        </w:tblPrEx>
        <w:trPr>
          <w:trHeight w:val="590" w:hRule="atLeast"/>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一般公共预算财政拨款基本支出决算表</w:t>
            </w:r>
          </w:p>
        </w:tc>
      </w:tr>
      <w:tr>
        <w:tblPrEx>
          <w:tblCellMar>
            <w:top w:w="0" w:type="dxa"/>
            <w:left w:w="0" w:type="dxa"/>
            <w:bottom w:w="0" w:type="dxa"/>
            <w:right w:w="0" w:type="dxa"/>
          </w:tblCellMar>
        </w:tblPrEx>
        <w:trPr>
          <w:trHeight w:val="302" w:hRule="atLeast"/>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重庆市长寿区救助管理站</w:t>
            </w:r>
          </w:p>
        </w:tc>
        <w:tc>
          <w:tcPr>
            <w:tcW w:w="282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12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33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74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50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446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494"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公开06表</w:t>
            </w:r>
          </w:p>
        </w:tc>
      </w:tr>
      <w:tr>
        <w:tblPrEx>
          <w:tblCellMar>
            <w:top w:w="0" w:type="dxa"/>
            <w:left w:w="0" w:type="dxa"/>
            <w:bottom w:w="0" w:type="dxa"/>
            <w:right w:w="0" w:type="dxa"/>
          </w:tblCellMar>
        </w:tblPrEx>
        <w:trPr>
          <w:trHeight w:val="302" w:hRule="atLeast"/>
        </w:trPr>
        <w:tc>
          <w:tcPr>
            <w:tcW w:w="4784" w:type="dxa"/>
            <w:gridSpan w:val="2"/>
            <w:vMerge w:val="continue"/>
            <w:tcBorders>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82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1122"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330"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747"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150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4465"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494"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311" w:hRule="atLeast"/>
        </w:trPr>
        <w:tc>
          <w:tcPr>
            <w:tcW w:w="7613"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人员经费</w:t>
            </w:r>
          </w:p>
        </w:tc>
        <w:tc>
          <w:tcPr>
            <w:tcW w:w="14667"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公用经费</w:t>
            </w:r>
          </w:p>
        </w:tc>
      </w:tr>
      <w:tr>
        <w:tblPrEx>
          <w:tblCellMar>
            <w:top w:w="0" w:type="dxa"/>
            <w:left w:w="0" w:type="dxa"/>
            <w:bottom w:w="0" w:type="dxa"/>
            <w:right w:w="0" w:type="dxa"/>
          </w:tblCellMar>
        </w:tblPrEx>
        <w:trPr>
          <w:trHeight w:val="312" w:hRule="atLeast"/>
        </w:trPr>
        <w:tc>
          <w:tcPr>
            <w:tcW w:w="128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经济分类科目编码</w:t>
            </w:r>
          </w:p>
        </w:tc>
        <w:tc>
          <w:tcPr>
            <w:tcW w:w="349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经济分类科目（按“款”级功能分类科目）</w:t>
            </w:r>
          </w:p>
        </w:tc>
        <w:tc>
          <w:tcPr>
            <w:tcW w:w="282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金额</w:t>
            </w:r>
          </w:p>
        </w:tc>
        <w:tc>
          <w:tcPr>
            <w:tcW w:w="112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经济分类科目编码</w:t>
            </w:r>
          </w:p>
        </w:tc>
        <w:tc>
          <w:tcPr>
            <w:tcW w:w="23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经济分类科目（按“款”级功能分类科目）</w:t>
            </w:r>
          </w:p>
        </w:tc>
        <w:tc>
          <w:tcPr>
            <w:tcW w:w="274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金额</w:t>
            </w:r>
          </w:p>
        </w:tc>
        <w:tc>
          <w:tcPr>
            <w:tcW w:w="150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经济分类科目编码</w:t>
            </w:r>
          </w:p>
        </w:tc>
        <w:tc>
          <w:tcPr>
            <w:tcW w:w="446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经济分类科目（按“款”级功能分类科目）</w:t>
            </w:r>
          </w:p>
        </w:tc>
        <w:tc>
          <w:tcPr>
            <w:tcW w:w="249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金额</w:t>
            </w:r>
          </w:p>
        </w:tc>
      </w:tr>
      <w:tr>
        <w:tblPrEx>
          <w:tblCellMar>
            <w:top w:w="0" w:type="dxa"/>
            <w:left w:w="0" w:type="dxa"/>
            <w:bottom w:w="0" w:type="dxa"/>
            <w:right w:w="0" w:type="dxa"/>
          </w:tblCellMar>
        </w:tblPrEx>
        <w:trPr>
          <w:trHeight w:val="799" w:hRule="atLeast"/>
        </w:trPr>
        <w:tc>
          <w:tcPr>
            <w:tcW w:w="128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349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82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12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3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74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150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46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9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148.92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28.49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0.79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基本工资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31.50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办公费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3.71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房屋建筑物购建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津贴补贴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22.62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印刷费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31002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办公设备购置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0.79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奖金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47.26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咨询费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专用设备购置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伙食补助费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2.24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手续费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0.30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基础设施建设</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绩效工资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水费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0.06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31006</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大型修缮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机关事业单位基本养老保险缴费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12.69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0.40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信息网络及软件购置更新</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职业年金缴费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7.14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邮电费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1.91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物资储备</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64"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职工基本医疗保险缴费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8.78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取暖费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土地补偿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公务员医疗补助缴费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1.12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30209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物业管理费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安置补助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30112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其他社会保障缴费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2.01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30211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差旅费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31011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地上附着物和青苗补偿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30113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住房公积金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12.28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30212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因公出国（境）费用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拆迁补偿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30114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医疗费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30213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维修（护）费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1.47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31013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公务用车购置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30199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1.28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30214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租赁费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31019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其他交通工具购置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25.52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30215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会议费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31021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文物和陈列品购置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离休费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30216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培训费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0.60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31022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无形资产购置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退休费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30217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公务接待费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0.51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31099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退职（役）费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30218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专用材料费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抚恤金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30224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被装购置费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31201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资本金注入</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30305</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生活补助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23.72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30225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专用燃料费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31203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政府投资基金股权投资</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救济费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30226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劳务费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31204</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费用补贴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医疗费补助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1.80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30227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委托业务费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31205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利息补贴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助学金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30228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工会经费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12.00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31299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奖励金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30229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福利费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个人农业生产补贴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30231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公务用车运行维护费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1.63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39907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国家赔偿费用支出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代缴社会保险费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30239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其他交通费用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4.26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39908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对民间非营利组织和群众性自治组织补贴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30399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30240</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税金及附加费用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39909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经常性赠与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30299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1.64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39910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资本性赠与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债务利息及费用支出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39999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30701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国内债务付息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30702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国外债务付息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30703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国内债务发行费用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r>
      <w:tr>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30704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国外债务发行费用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color w:val="000000"/>
                <w:sz w:val="22"/>
                <w:szCs w:val="22"/>
              </w:rPr>
            </w:pPr>
          </w:p>
        </w:tc>
      </w:tr>
      <w:tr>
        <w:tblPrEx>
          <w:tblCellMar>
            <w:top w:w="0" w:type="dxa"/>
            <w:left w:w="0" w:type="dxa"/>
            <w:bottom w:w="0" w:type="dxa"/>
            <w:right w:w="0" w:type="dxa"/>
          </w:tblCellMar>
        </w:tblPrEx>
        <w:trPr>
          <w:trHeight w:val="321" w:hRule="atLeast"/>
        </w:trPr>
        <w:tc>
          <w:tcPr>
            <w:tcW w:w="4784"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人员经费合计</w:t>
            </w:r>
          </w:p>
        </w:tc>
        <w:tc>
          <w:tcPr>
            <w:tcW w:w="2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174.44 </w:t>
            </w:r>
          </w:p>
        </w:tc>
        <w:tc>
          <w:tcPr>
            <w:tcW w:w="12173"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公用经费合计</w:t>
            </w:r>
          </w:p>
        </w:tc>
        <w:tc>
          <w:tcPr>
            <w:tcW w:w="24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2"/>
                <w:szCs w:val="22"/>
              </w:rPr>
            </w:pPr>
            <w:r>
              <w:rPr>
                <w:rFonts w:cs="宋体"/>
                <w:color w:val="000000"/>
                <w:sz w:val="21"/>
                <w:szCs w:val="21"/>
                <w:lang w:bidi="ar"/>
              </w:rPr>
              <w:t xml:space="preserve">29.27 </w:t>
            </w:r>
          </w:p>
        </w:tc>
      </w:tr>
    </w:tbl>
    <w:p>
      <w:pPr>
        <w:rPr>
          <w:rFonts w:hint="default" w:cs="宋体"/>
          <w:sz w:val="21"/>
          <w:szCs w:val="21"/>
        </w:rPr>
      </w:pPr>
      <w:r>
        <w:rPr>
          <w:rFonts w:cs="宋体"/>
          <w:sz w:val="21"/>
          <w:szCs w:val="21"/>
          <w:lang w:bidi="ar"/>
        </w:rPr>
        <w:t>备注：1.本表反映单位本年度一般公共预算财政拨款基本支出明细情况。</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pPr>
        <w:rPr>
          <w:rFonts w:hint="default" w:cs="宋体"/>
          <w:sz w:val="21"/>
          <w:szCs w:val="21"/>
        </w:rPr>
      </w:pPr>
      <w:r>
        <w:rPr>
          <w:rFonts w:cs="宋体"/>
          <w:sz w:val="21"/>
          <w:szCs w:val="21"/>
        </w:rPr>
        <w:br w:type="page"/>
      </w:r>
    </w:p>
    <w:tbl>
      <w:tblPr>
        <w:tblStyle w:val="6"/>
        <w:tblW w:w="22240" w:type="dxa"/>
        <w:tblInd w:w="0" w:type="dxa"/>
        <w:tblLayout w:type="fixed"/>
        <w:tblCellMar>
          <w:top w:w="0" w:type="dxa"/>
          <w:left w:w="0" w:type="dxa"/>
          <w:bottom w:w="0" w:type="dxa"/>
          <w:right w:w="0" w:type="dxa"/>
        </w:tblCellMar>
      </w:tblPr>
      <w:tblGrid>
        <w:gridCol w:w="2686"/>
        <w:gridCol w:w="4465"/>
        <w:gridCol w:w="2473"/>
        <w:gridCol w:w="2473"/>
        <w:gridCol w:w="2473"/>
        <w:gridCol w:w="2473"/>
        <w:gridCol w:w="2558"/>
        <w:gridCol w:w="2639"/>
      </w:tblGrid>
      <w:tr>
        <w:tblPrEx>
          <w:tblCellMar>
            <w:top w:w="0" w:type="dxa"/>
            <w:left w:w="0" w:type="dxa"/>
            <w:bottom w:w="0" w:type="dxa"/>
            <w:right w:w="0" w:type="dxa"/>
          </w:tblCellMar>
        </w:tblPrEx>
        <w:trPr>
          <w:trHeight w:val="644" w:hRule="atLeast"/>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政府性基金预算财政拨款收入支出决算表</w:t>
            </w:r>
          </w:p>
        </w:tc>
      </w:tr>
      <w:tr>
        <w:tblPrEx>
          <w:tblCellMar>
            <w:top w:w="0" w:type="dxa"/>
            <w:left w:w="0" w:type="dxa"/>
            <w:bottom w:w="0" w:type="dxa"/>
            <w:right w:w="0" w:type="dxa"/>
          </w:tblCellMar>
        </w:tblPrEx>
        <w:trPr>
          <w:trHeight w:val="329" w:hRule="atLeast"/>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重庆市长寿区救助管理站</w:t>
            </w:r>
          </w:p>
        </w:tc>
        <w:tc>
          <w:tcPr>
            <w:tcW w:w="24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4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558"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2639"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公开07表</w:t>
            </w:r>
          </w:p>
        </w:tc>
      </w:tr>
      <w:tr>
        <w:tblPrEx>
          <w:tblCellMar>
            <w:top w:w="0" w:type="dxa"/>
            <w:left w:w="0" w:type="dxa"/>
            <w:bottom w:w="0" w:type="dxa"/>
            <w:right w:w="0" w:type="dxa"/>
          </w:tblCellMar>
        </w:tblPrEx>
        <w:trPr>
          <w:trHeight w:val="329" w:hRule="atLeast"/>
        </w:trPr>
        <w:tc>
          <w:tcPr>
            <w:tcW w:w="7151" w:type="dxa"/>
            <w:gridSpan w:val="2"/>
            <w:vMerge w:val="continue"/>
            <w:tcBorders>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47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558"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2639"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339" w:hRule="atLeast"/>
        </w:trPr>
        <w:tc>
          <w:tcPr>
            <w:tcW w:w="7151"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w:t>
            </w:r>
          </w:p>
        </w:tc>
        <w:tc>
          <w:tcPr>
            <w:tcW w:w="247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年初结转和结余</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本年收入</w:t>
            </w:r>
          </w:p>
        </w:tc>
        <w:tc>
          <w:tcPr>
            <w:tcW w:w="7504"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本年支出</w:t>
            </w:r>
          </w:p>
        </w:tc>
        <w:tc>
          <w:tcPr>
            <w:tcW w:w="26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年末结转和结余</w:t>
            </w:r>
          </w:p>
        </w:tc>
      </w:tr>
      <w:tr>
        <w:tblPrEx>
          <w:tblCellMar>
            <w:top w:w="0" w:type="dxa"/>
            <w:left w:w="0" w:type="dxa"/>
            <w:bottom w:w="0" w:type="dxa"/>
            <w:right w:w="0" w:type="dxa"/>
          </w:tblCellMar>
        </w:tblPrEx>
        <w:trPr>
          <w:trHeight w:val="335" w:hRule="atLeast"/>
        </w:trPr>
        <w:tc>
          <w:tcPr>
            <w:tcW w:w="268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功能分类科目编码</w:t>
            </w:r>
          </w:p>
        </w:tc>
        <w:tc>
          <w:tcPr>
            <w:tcW w:w="446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项目（按“项”级功能分类科目）</w:t>
            </w: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合计</w:t>
            </w: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基本支出</w:t>
            </w:r>
          </w:p>
        </w:tc>
        <w:tc>
          <w:tcPr>
            <w:tcW w:w="255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项目支出</w:t>
            </w: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64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9" w:hRule="atLeast"/>
        </w:trPr>
        <w:tc>
          <w:tcPr>
            <w:tcW w:w="7151"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合计</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r>
    </w:tbl>
    <w:p>
      <w:pPr>
        <w:rPr>
          <w:rFonts w:hint="default" w:cs="宋体"/>
          <w:sz w:val="21"/>
          <w:szCs w:val="21"/>
        </w:rPr>
      </w:pPr>
      <w:r>
        <w:rPr>
          <w:rFonts w:cs="宋体"/>
          <w:sz w:val="21"/>
          <w:szCs w:val="21"/>
          <w:lang w:bidi="ar"/>
        </w:rPr>
        <w:t>备注：本表反映单位本年度政府性基金预算财政拨款收入支出及结转和结余情况。本单位无政府性基金收支，故本表无数据。</w:t>
      </w:r>
      <w:r>
        <w:rPr>
          <w:rFonts w:cs="宋体"/>
          <w:sz w:val="21"/>
          <w:szCs w:val="21"/>
          <w:lang w:bidi="ar"/>
        </w:rPr>
        <w:br w:type="textWrapping"/>
      </w:r>
      <w:r>
        <w:rPr>
          <w:rFonts w:cs="宋体"/>
          <w:sz w:val="21"/>
          <w:szCs w:val="21"/>
        </w:rPr>
        <w:br w:type="textWrapping"/>
      </w:r>
    </w:p>
    <w:p>
      <w:pPr>
        <w:rPr>
          <w:rFonts w:hint="default" w:cs="宋体"/>
          <w:sz w:val="21"/>
          <w:szCs w:val="21"/>
        </w:rPr>
      </w:pPr>
      <w:r>
        <w:rPr>
          <w:rFonts w:cs="宋体"/>
          <w:sz w:val="21"/>
          <w:szCs w:val="21"/>
        </w:rPr>
        <w:br w:type="page"/>
      </w:r>
    </w:p>
    <w:tbl>
      <w:tblPr>
        <w:tblStyle w:val="6"/>
        <w:tblW w:w="22220" w:type="dxa"/>
        <w:tblInd w:w="0" w:type="dxa"/>
        <w:tblLayout w:type="fixed"/>
        <w:tblCellMar>
          <w:top w:w="0" w:type="dxa"/>
          <w:left w:w="0" w:type="dxa"/>
          <w:bottom w:w="0" w:type="dxa"/>
          <w:right w:w="0" w:type="dxa"/>
        </w:tblCellMar>
      </w:tblPr>
      <w:tblGrid>
        <w:gridCol w:w="2729"/>
        <w:gridCol w:w="4420"/>
        <w:gridCol w:w="4736"/>
        <w:gridCol w:w="5423"/>
        <w:gridCol w:w="4912"/>
      </w:tblGrid>
      <w:tr>
        <w:tblPrEx>
          <w:tblCellMar>
            <w:top w:w="0" w:type="dxa"/>
            <w:left w:w="0" w:type="dxa"/>
            <w:bottom w:w="0" w:type="dxa"/>
            <w:right w:w="0" w:type="dxa"/>
          </w:tblCellMar>
        </w:tblPrEx>
        <w:trPr>
          <w:trHeight w:val="650" w:hRule="atLeast"/>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国有资本经营预算财政拨款支出决算表</w:t>
            </w:r>
          </w:p>
        </w:tc>
      </w:tr>
      <w:tr>
        <w:tblPrEx>
          <w:tblCellMar>
            <w:top w:w="0" w:type="dxa"/>
            <w:left w:w="0" w:type="dxa"/>
            <w:bottom w:w="0" w:type="dxa"/>
            <w:right w:w="0" w:type="dxa"/>
          </w:tblCellMar>
        </w:tblPrEx>
        <w:trPr>
          <w:trHeight w:val="332" w:hRule="atLeast"/>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重庆市长寿区救助管理站</w:t>
            </w:r>
          </w:p>
        </w:tc>
        <w:tc>
          <w:tcPr>
            <w:tcW w:w="4736"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542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4912"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公开08表</w:t>
            </w:r>
          </w:p>
        </w:tc>
      </w:tr>
      <w:tr>
        <w:tblPrEx>
          <w:tblCellMar>
            <w:top w:w="0" w:type="dxa"/>
            <w:left w:w="0" w:type="dxa"/>
            <w:bottom w:w="0" w:type="dxa"/>
            <w:right w:w="0" w:type="dxa"/>
          </w:tblCellMar>
        </w:tblPrEx>
        <w:trPr>
          <w:trHeight w:val="332" w:hRule="atLeast"/>
        </w:trPr>
        <w:tc>
          <w:tcPr>
            <w:tcW w:w="7149" w:type="dxa"/>
            <w:gridSpan w:val="2"/>
            <w:vMerge w:val="continue"/>
            <w:tcBorders>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4736"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5423"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4912"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422"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2"/>
                <w:szCs w:val="22"/>
              </w:rPr>
            </w:pPr>
            <w:r>
              <w:rPr>
                <w:rFonts w:cs="宋体"/>
                <w:b/>
                <w:color w:val="000000"/>
                <w:sz w:val="22"/>
                <w:szCs w:val="22"/>
                <w:lang w:bidi="ar"/>
              </w:rPr>
              <w:t>项目</w:t>
            </w:r>
          </w:p>
        </w:tc>
        <w:tc>
          <w:tcPr>
            <w:tcW w:w="15071" w:type="dxa"/>
            <w:gridSpan w:val="3"/>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2"/>
                <w:szCs w:val="22"/>
              </w:rPr>
            </w:pPr>
            <w:r>
              <w:rPr>
                <w:rFonts w:cs="宋体"/>
                <w:b/>
                <w:color w:val="000000"/>
                <w:sz w:val="22"/>
                <w:szCs w:val="22"/>
                <w:lang w:bidi="ar"/>
              </w:rPr>
              <w:t>本年支出</w:t>
            </w:r>
          </w:p>
        </w:tc>
      </w:tr>
      <w:tr>
        <w:tblPrEx>
          <w:tblCellMar>
            <w:top w:w="0" w:type="dxa"/>
            <w:left w:w="0" w:type="dxa"/>
            <w:bottom w:w="0" w:type="dxa"/>
            <w:right w:w="0" w:type="dxa"/>
          </w:tblCellMar>
        </w:tblPrEx>
        <w:trPr>
          <w:trHeight w:val="339" w:hRule="atLeast"/>
        </w:trPr>
        <w:tc>
          <w:tcPr>
            <w:tcW w:w="272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功能分类科目编码</w:t>
            </w:r>
          </w:p>
        </w:tc>
        <w:tc>
          <w:tcPr>
            <w:tcW w:w="442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科目名称</w:t>
            </w:r>
          </w:p>
        </w:tc>
        <w:tc>
          <w:tcPr>
            <w:tcW w:w="47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合计</w:t>
            </w:r>
          </w:p>
        </w:tc>
        <w:tc>
          <w:tcPr>
            <w:tcW w:w="54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基本支出</w:t>
            </w:r>
          </w:p>
        </w:tc>
        <w:tc>
          <w:tcPr>
            <w:tcW w:w="491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项目支出</w:t>
            </w:r>
          </w:p>
        </w:tc>
      </w:tr>
      <w:tr>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312"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2"/>
                <w:szCs w:val="22"/>
              </w:rPr>
            </w:pPr>
          </w:p>
        </w:tc>
      </w:tr>
      <w:tr>
        <w:tblPrEx>
          <w:tblCellMar>
            <w:top w:w="0" w:type="dxa"/>
            <w:left w:w="0" w:type="dxa"/>
            <w:bottom w:w="0" w:type="dxa"/>
            <w:right w:w="0" w:type="dxa"/>
          </w:tblCellMar>
        </w:tblPrEx>
        <w:trPr>
          <w:trHeight w:val="611"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合计</w:t>
            </w:r>
          </w:p>
        </w:tc>
        <w:tc>
          <w:tcPr>
            <w:tcW w:w="47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c>
          <w:tcPr>
            <w:tcW w:w="542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2"/>
                <w:szCs w:val="22"/>
              </w:rPr>
            </w:pPr>
          </w:p>
        </w:tc>
        <w:tc>
          <w:tcPr>
            <w:tcW w:w="49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2"/>
                <w:szCs w:val="22"/>
              </w:rPr>
            </w:pPr>
            <w:r>
              <w:rPr>
                <w:rFonts w:cs="宋体"/>
                <w:b/>
                <w:bCs/>
                <w:color w:val="000000"/>
                <w:sz w:val="21"/>
                <w:szCs w:val="21"/>
                <w:lang w:bidi="ar"/>
              </w:rPr>
              <w:t xml:space="preserve"> </w:t>
            </w:r>
          </w:p>
        </w:tc>
      </w:tr>
    </w:tbl>
    <w:p>
      <w:pPr>
        <w:rPr>
          <w:rFonts w:hint="default" w:cs="宋体"/>
          <w:sz w:val="21"/>
          <w:szCs w:val="21"/>
          <w:lang w:bidi="ar"/>
        </w:rPr>
      </w:pPr>
      <w:r>
        <w:rPr>
          <w:rFonts w:cs="宋体"/>
          <w:sz w:val="21"/>
          <w:szCs w:val="21"/>
          <w:lang w:bidi="ar"/>
        </w:rPr>
        <w:t>备注：本表反映单位本年度国有资本经营预算财政拨款支出情况。本单位无国有资本经营收支，故本表无数据。</w:t>
      </w:r>
      <w:r>
        <w:rPr>
          <w:rFonts w:cs="宋体"/>
          <w:sz w:val="21"/>
          <w:szCs w:val="21"/>
          <w:lang w:bidi="ar"/>
        </w:rPr>
        <w:br w:type="textWrapping"/>
      </w:r>
      <w:r>
        <w:rPr>
          <w:rFonts w:cs="宋体"/>
          <w:sz w:val="21"/>
          <w:szCs w:val="21"/>
        </w:rPr>
        <w:br w:type="textWrapping"/>
      </w:r>
    </w:p>
    <w:p>
      <w:pPr>
        <w:rPr>
          <w:rFonts w:hint="default" w:cs="宋体"/>
          <w:sz w:val="21"/>
          <w:szCs w:val="21"/>
        </w:rPr>
      </w:pPr>
      <w:r>
        <w:rPr>
          <w:rFonts w:cs="宋体"/>
          <w:sz w:val="21"/>
          <w:szCs w:val="21"/>
        </w:rPr>
        <w:br w:type="page"/>
      </w:r>
    </w:p>
    <w:tbl>
      <w:tblPr>
        <w:tblStyle w:val="6"/>
        <w:tblW w:w="22168" w:type="dxa"/>
        <w:tblInd w:w="0" w:type="dxa"/>
        <w:tblLayout w:type="fixed"/>
        <w:tblCellMar>
          <w:top w:w="0" w:type="dxa"/>
          <w:left w:w="0" w:type="dxa"/>
          <w:bottom w:w="0" w:type="dxa"/>
          <w:right w:w="0" w:type="dxa"/>
        </w:tblCellMar>
      </w:tblPr>
      <w:tblGrid>
        <w:gridCol w:w="5159"/>
        <w:gridCol w:w="3822"/>
        <w:gridCol w:w="3281"/>
        <w:gridCol w:w="6581"/>
        <w:gridCol w:w="3325"/>
      </w:tblGrid>
      <w:tr>
        <w:tblPrEx>
          <w:tblCellMar>
            <w:top w:w="0" w:type="dxa"/>
            <w:left w:w="0" w:type="dxa"/>
            <w:bottom w:w="0" w:type="dxa"/>
            <w:right w:w="0" w:type="dxa"/>
          </w:tblCellMar>
        </w:tblPrEx>
        <w:trPr>
          <w:trHeight w:val="510" w:hRule="atLeast"/>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40"/>
                <w:szCs w:val="40"/>
              </w:rPr>
            </w:pPr>
            <w:r>
              <w:rPr>
                <w:rFonts w:cs="宋体"/>
                <w:b/>
                <w:color w:val="000000"/>
                <w:sz w:val="44"/>
                <w:szCs w:val="44"/>
                <w:lang w:bidi="ar"/>
              </w:rPr>
              <w:t>机构运行信息表</w:t>
            </w:r>
          </w:p>
        </w:tc>
      </w:tr>
      <w:tr>
        <w:tblPrEx>
          <w:tblCellMar>
            <w:top w:w="0" w:type="dxa"/>
            <w:left w:w="0" w:type="dxa"/>
            <w:bottom w:w="0" w:type="dxa"/>
            <w:right w:w="0" w:type="dxa"/>
          </w:tblCellMar>
        </w:tblPrEx>
        <w:trPr>
          <w:trHeight w:val="25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822" w:type="dxa"/>
            <w:tcBorders>
              <w:top w:val="nil"/>
              <w:left w:val="nil"/>
              <w:bottom w:val="nil"/>
              <w:right w:val="nil"/>
            </w:tcBorders>
            <w:shd w:val="clear" w:color="auto" w:fill="auto"/>
            <w:noWrap/>
            <w:tcMar>
              <w:top w:w="15" w:type="dxa"/>
              <w:left w:w="15" w:type="dxa"/>
              <w:right w:w="15" w:type="dxa"/>
            </w:tcMar>
            <w:vAlign w:val="bottom"/>
          </w:tcPr>
          <w:p>
            <w:pPr>
              <w:jc w:val="center"/>
              <w:rPr>
                <w:rFonts w:hint="default" w:ascii="Arial" w:hAnsi="Arial" w:cs="Arial"/>
                <w:color w:val="000000"/>
                <w:sz w:val="20"/>
                <w:szCs w:val="20"/>
              </w:rPr>
            </w:pPr>
          </w:p>
        </w:tc>
        <w:tc>
          <w:tcPr>
            <w:tcW w:w="3281" w:type="dxa"/>
            <w:tcBorders>
              <w:top w:val="nil"/>
              <w:left w:val="nil"/>
              <w:bottom w:val="nil"/>
              <w:right w:val="nil"/>
            </w:tcBorders>
            <w:shd w:val="clear" w:color="auto" w:fill="auto"/>
            <w:noWrap/>
            <w:tcMar>
              <w:top w:w="15" w:type="dxa"/>
              <w:left w:w="15" w:type="dxa"/>
              <w:right w:w="15" w:type="dxa"/>
            </w:tcMar>
            <w:vAlign w:val="bottom"/>
          </w:tcPr>
          <w:p>
            <w:pPr>
              <w:jc w:val="right"/>
              <w:rPr>
                <w:rFonts w:hint="default" w:ascii="Arial" w:hAnsi="Arial" w:cs="Arial"/>
                <w:color w:val="000000"/>
                <w:sz w:val="20"/>
                <w:szCs w:val="20"/>
              </w:rPr>
            </w:pPr>
          </w:p>
        </w:tc>
        <w:tc>
          <w:tcPr>
            <w:tcW w:w="6581"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0"/>
                <w:szCs w:val="20"/>
              </w:rPr>
            </w:pPr>
          </w:p>
        </w:tc>
        <w:tc>
          <w:tcPr>
            <w:tcW w:w="3325"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公开09表</w:t>
            </w:r>
          </w:p>
        </w:tc>
      </w:tr>
      <w:tr>
        <w:tblPrEx>
          <w:tblCellMar>
            <w:top w:w="0" w:type="dxa"/>
            <w:left w:w="0" w:type="dxa"/>
            <w:bottom w:w="0" w:type="dxa"/>
            <w:right w:w="0" w:type="dxa"/>
          </w:tblCellMar>
        </w:tblPrEx>
        <w:trPr>
          <w:trHeight w:val="28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pPr>
              <w:textAlignment w:val="bottom"/>
              <w:rPr>
                <w:rFonts w:hint="default" w:ascii="Arial" w:hAnsi="Arial" w:cs="Arial"/>
                <w:color w:val="000000"/>
                <w:sz w:val="22"/>
                <w:szCs w:val="22"/>
              </w:rPr>
            </w:pPr>
            <w:r>
              <w:rPr>
                <w:rFonts w:asciiTheme="minorEastAsia" w:hAnsiTheme="minorEastAsia" w:eastAsiaTheme="minorEastAsia" w:cstheme="minorEastAsia"/>
              </w:rPr>
              <w:t>公开单位</w:t>
            </w:r>
            <w:r>
              <w:rPr>
                <w:rFonts w:asciiTheme="minorEastAsia" w:hAnsiTheme="minorEastAsia" w:eastAsiaTheme="minorEastAsia" w:cstheme="minorEastAsia"/>
                <w:color w:val="000000"/>
                <w:lang w:bidi="ar"/>
              </w:rPr>
              <w:t xml:space="preserve">： </w:t>
            </w:r>
            <w:r>
              <w:rPr>
                <w:color w:val="000000"/>
                <w:u w:color="auto"/>
              </w:rPr>
              <w:t>重庆市长寿区救助管理站</w:t>
            </w:r>
          </w:p>
        </w:tc>
        <w:tc>
          <w:tcPr>
            <w:tcW w:w="3822" w:type="dxa"/>
            <w:tcBorders>
              <w:top w:val="nil"/>
              <w:left w:val="nil"/>
              <w:bottom w:val="nil"/>
              <w:right w:val="nil"/>
            </w:tcBorders>
            <w:shd w:val="clear" w:color="auto" w:fill="auto"/>
            <w:noWrap/>
            <w:tcMar>
              <w:top w:w="15" w:type="dxa"/>
              <w:left w:w="15" w:type="dxa"/>
              <w:right w:w="15" w:type="dxa"/>
            </w:tcMar>
            <w:vAlign w:val="bottom"/>
          </w:tcPr>
          <w:p>
            <w:pPr>
              <w:jc w:val="center"/>
              <w:rPr>
                <w:rFonts w:hint="default" w:cs="宋体"/>
                <w:color w:val="000000"/>
                <w:sz w:val="22"/>
                <w:szCs w:val="22"/>
              </w:rPr>
            </w:pPr>
          </w:p>
        </w:tc>
        <w:tc>
          <w:tcPr>
            <w:tcW w:w="3281" w:type="dxa"/>
            <w:tcBorders>
              <w:top w:val="nil"/>
              <w:left w:val="nil"/>
              <w:bottom w:val="nil"/>
              <w:right w:val="nil"/>
            </w:tcBorders>
            <w:shd w:val="clear" w:color="auto" w:fill="auto"/>
            <w:noWrap/>
            <w:tcMar>
              <w:top w:w="15" w:type="dxa"/>
              <w:left w:w="15" w:type="dxa"/>
              <w:right w:w="15" w:type="dxa"/>
            </w:tcMar>
            <w:vAlign w:val="bottom"/>
          </w:tcPr>
          <w:p>
            <w:pPr>
              <w:jc w:val="right"/>
              <w:rPr>
                <w:rFonts w:hint="default" w:ascii="Arial" w:hAnsi="Arial" w:cs="Arial"/>
                <w:color w:val="000000"/>
                <w:sz w:val="22"/>
                <w:szCs w:val="22"/>
              </w:rPr>
            </w:pPr>
          </w:p>
        </w:tc>
        <w:tc>
          <w:tcPr>
            <w:tcW w:w="6581" w:type="dxa"/>
            <w:tcBorders>
              <w:top w:val="nil"/>
              <w:left w:val="nil"/>
              <w:bottom w:val="nil"/>
              <w:right w:val="nil"/>
            </w:tcBorders>
            <w:shd w:val="clear" w:color="auto" w:fill="auto"/>
            <w:noWrap/>
            <w:tcMar>
              <w:top w:w="15" w:type="dxa"/>
              <w:left w:w="15" w:type="dxa"/>
              <w:right w:w="15" w:type="dxa"/>
            </w:tcMar>
            <w:vAlign w:val="bottom"/>
          </w:tcPr>
          <w:p>
            <w:pPr>
              <w:rPr>
                <w:rFonts w:hint="default" w:ascii="Arial" w:hAnsi="Arial" w:cs="Arial"/>
                <w:color w:val="000000"/>
                <w:sz w:val="22"/>
                <w:szCs w:val="22"/>
              </w:rPr>
            </w:pPr>
          </w:p>
        </w:tc>
        <w:tc>
          <w:tcPr>
            <w:tcW w:w="3325"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rPr>
            </w:pPr>
            <w:r>
              <w:rPr>
                <w:rFonts w:cs="宋体"/>
                <w:color w:val="000000"/>
                <w:lang w:bidi="ar"/>
              </w:rPr>
              <w:t>单位：</w:t>
            </w:r>
            <w:r>
              <w:rPr>
                <w:rFonts w:cs="宋体"/>
              </w:rPr>
              <w:t>万元</w:t>
            </w:r>
          </w:p>
        </w:tc>
      </w:tr>
      <w:tr>
        <w:tblPrEx>
          <w:tblCellMar>
            <w:top w:w="0" w:type="dxa"/>
            <w:left w:w="0" w:type="dxa"/>
            <w:bottom w:w="0" w:type="dxa"/>
            <w:right w:w="0" w:type="dxa"/>
          </w:tblCellMar>
        </w:tblPrEx>
        <w:trPr>
          <w:trHeight w:val="308" w:hRule="atLeast"/>
        </w:trPr>
        <w:tc>
          <w:tcPr>
            <w:tcW w:w="5159" w:type="dxa"/>
            <w:tcBorders>
              <w:top w:val="single" w:color="000000" w:sz="4" w:space="0"/>
              <w:left w:val="single" w:color="000000" w:sz="4" w:space="0"/>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  目</w:t>
            </w:r>
          </w:p>
        </w:tc>
        <w:tc>
          <w:tcPr>
            <w:tcW w:w="38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预算数</w:t>
            </w:r>
          </w:p>
        </w:tc>
        <w:tc>
          <w:tcPr>
            <w:tcW w:w="3281"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决算数</w:t>
            </w:r>
          </w:p>
        </w:tc>
        <w:tc>
          <w:tcPr>
            <w:tcW w:w="6581" w:type="dxa"/>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项  目</w:t>
            </w:r>
          </w:p>
        </w:tc>
        <w:tc>
          <w:tcPr>
            <w:tcW w:w="3325"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2"/>
                <w:szCs w:val="22"/>
              </w:rPr>
            </w:pPr>
            <w:r>
              <w:rPr>
                <w:rFonts w:cs="宋体"/>
                <w:b/>
                <w:color w:val="000000"/>
                <w:sz w:val="22"/>
                <w:szCs w:val="22"/>
                <w:lang w:bidi="ar"/>
              </w:rPr>
              <w:t>决算数</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一、“三公”经费支出</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四、机关运行经费</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29.27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（一）支出合计</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2.14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2.14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（一）行政单位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1．因公出国（境）费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（二）参照公务员法管理事业单位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29.27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2．公务用车购置及运行维护费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1.63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1.63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五、资产信息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（1）公务用车购置费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（一）车辆数合计（辆）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1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（2）公务用车运行维护费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1.63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1.63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1．副部（省）级及以上领导用车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3．公务接待费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0.51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0.51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2．主要领导干部用车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（1）国内接待费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0.51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3．机要通信用车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其中：外事接待费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4．应急保障用车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（2）国（境）外接待费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5．执法执勤用车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（二）相关统计数</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6．特种专业技术用车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1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1．因公出国（境）团组数（个）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7．离退休干部用车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2．因公出国（境）人次数（人）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8．其他用车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3．公务用车购置数（辆）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（二）单价100万元（含）以上设备（不含车辆）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4．公务用车保有量（辆）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1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六、政府采购支出信息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5．国内公务接待批次（个）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10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（一）政府采购支出合计</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其中：外事接待批次（个）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1．政府采购货物支出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6．国内公务接待人次（人）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65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2．政府采购工程支出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其中：外事接待人次（人）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3．政府采购服务支出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7．国（境）外公务接待批次（个）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（二）政府采购授予中小企业合同金额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8．国（境）外公务接待人次（人）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 xml:space="preserve">        其中：授予小微企业合同金额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二、会议费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default" w:ascii="Arial" w:hAnsi="Arial" w:cs="Arial"/>
                <w:color w:val="000000"/>
                <w:sz w:val="20"/>
                <w:szCs w:val="20"/>
              </w:rPr>
            </w:pPr>
          </w:p>
        </w:tc>
      </w:tr>
      <w:tr>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pPr>
              <w:textAlignment w:val="center"/>
              <w:rPr>
                <w:rFonts w:hint="default" w:cs="宋体"/>
                <w:color w:val="000000"/>
                <w:sz w:val="22"/>
                <w:szCs w:val="22"/>
              </w:rPr>
            </w:pPr>
            <w:r>
              <w:rPr>
                <w:rFonts w:cs="宋体"/>
                <w:color w:val="000000"/>
                <w:sz w:val="22"/>
                <w:szCs w:val="22"/>
                <w:lang w:bidi="ar"/>
              </w:rPr>
              <w:t>三、培训费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hint="default" w:cs="宋体"/>
                <w:color w:val="000000"/>
                <w:sz w:val="22"/>
                <w:szCs w:val="22"/>
              </w:rPr>
            </w:pPr>
            <w:r>
              <w:rPr>
                <w:rFonts w:cs="宋体"/>
                <w:color w:val="000000"/>
                <w:sz w:val="22"/>
                <w:szCs w:val="22"/>
                <w:lang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pPr>
              <w:wordWrap w:val="0"/>
              <w:jc w:val="right"/>
              <w:textAlignment w:val="bottom"/>
              <w:rPr>
                <w:rFonts w:hint="default" w:ascii="Arial" w:hAnsi="Arial" w:cs="Arial"/>
                <w:color w:val="000000"/>
                <w:sz w:val="20"/>
                <w:szCs w:val="20"/>
              </w:rPr>
            </w:pPr>
            <w:r>
              <w:rPr>
                <w:rFonts w:cs="宋体"/>
                <w:color w:val="000000"/>
                <w:sz w:val="21"/>
                <w:szCs w:val="21"/>
                <w:lang w:bidi="ar"/>
              </w:rPr>
              <w:t xml:space="preserve">0.60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rPr>
                <w:rFonts w:hint="default" w:cs="宋体"/>
                <w:color w:val="000000"/>
                <w:sz w:val="22"/>
                <w:szCs w:val="22"/>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right"/>
              <w:rPr>
                <w:rFonts w:hint="default" w:ascii="Arial" w:hAnsi="Arial" w:cs="Arial"/>
                <w:color w:val="000000"/>
                <w:sz w:val="20"/>
                <w:szCs w:val="20"/>
              </w:rPr>
            </w:pPr>
          </w:p>
        </w:tc>
      </w:tr>
    </w:tbl>
    <w:p>
      <w:pPr>
        <w:rPr>
          <w:rFonts w:hint="default" w:cs="宋体"/>
          <w:sz w:val="21"/>
          <w:szCs w:val="21"/>
        </w:rPr>
      </w:pPr>
      <w:r>
        <w:rPr>
          <w:rFonts w:cs="宋体"/>
          <w:sz w:val="21"/>
          <w:szCs w:val="21"/>
          <w:lang w:bidi="ar"/>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1"/>
          <w:szCs w:val="21"/>
          <w:lang w:bidi="ar"/>
        </w:rPr>
        <w:br w:type="textWrapping"/>
      </w:r>
      <w:r>
        <w:rPr>
          <w:rFonts w:cs="宋体"/>
          <w:sz w:val="21"/>
          <w:szCs w:val="21"/>
          <w:lang w:bidi="ar"/>
        </w:rPr>
        <w:t xml:space="preserve">      2.本套报表金额单位转换时可能存在尾数误差。</w:t>
      </w:r>
      <w:r>
        <w:rPr>
          <w:rFonts w:cs="宋体"/>
          <w:sz w:val="21"/>
          <w:szCs w:val="21"/>
          <w:lang w:bidi="ar"/>
        </w:rPr>
        <w:br w:type="textWrapping"/>
      </w:r>
      <w:r>
        <w:rPr>
          <w:rFonts w:cs="宋体"/>
          <w:sz w:val="21"/>
          <w:szCs w:val="21"/>
        </w:rPr>
        <w:br w:type="textWrapping"/>
      </w:r>
    </w:p>
    <w:p>
      <w:pPr>
        <w:rPr>
          <w:rFonts w:hint="default" w:cs="宋体"/>
          <w:color w:val="000000"/>
          <w:sz w:val="21"/>
          <w:szCs w:val="21"/>
          <w:lang w:bidi="ar"/>
        </w:rPr>
      </w:pPr>
    </w:p>
    <w:p>
      <w:pPr>
        <w:rPr>
          <w:rFonts w:hint="default" w:cs="宋体"/>
          <w:color w:val="000000"/>
          <w:sz w:val="21"/>
          <w:szCs w:val="21"/>
          <w:lang w:bidi="ar"/>
        </w:rPr>
      </w:pPr>
    </w:p>
    <w:p>
      <w:pPr>
        <w:rPr>
          <w:rFonts w:hint="default" w:cs="宋体"/>
          <w:color w:val="000000"/>
          <w:sz w:val="21"/>
          <w:szCs w:val="21"/>
          <w:lang w:bidi="ar"/>
        </w:rPr>
      </w:pPr>
    </w:p>
    <w:p>
      <w:pPr>
        <w:rPr>
          <w:rFonts w:hint="default" w:cs="宋体"/>
          <w:color w:val="000000"/>
          <w:sz w:val="21"/>
          <w:szCs w:val="21"/>
          <w:lang w:bidi="ar"/>
        </w:rPr>
      </w:pPr>
    </w:p>
    <w:p>
      <w:pPr>
        <w:rPr>
          <w:rFonts w:hint="default" w:cs="宋体"/>
          <w:color w:val="000000"/>
          <w:sz w:val="21"/>
          <w:szCs w:val="21"/>
          <w:lang w:bidi="ar"/>
        </w:rPr>
      </w:pPr>
    </w:p>
    <w:p>
      <w:pPr>
        <w:rPr>
          <w:rFonts w:hint="default" w:cs="宋体"/>
          <w:color w:val="000000"/>
          <w:sz w:val="21"/>
          <w:szCs w:val="21"/>
          <w:lang w:bidi="ar"/>
        </w:rPr>
      </w:pPr>
    </w:p>
    <w:p>
      <w:pPr>
        <w:rPr>
          <w:rFonts w:hint="default" w:cs="宋体"/>
          <w:color w:val="000000"/>
          <w:sz w:val="21"/>
          <w:szCs w:val="21"/>
          <w:lang w:bidi="ar"/>
        </w:rPr>
      </w:pPr>
    </w:p>
    <w:p>
      <w:pPr>
        <w:rPr>
          <w:rFonts w:hint="default" w:cs="宋体"/>
          <w:color w:val="000000"/>
          <w:sz w:val="21"/>
          <w:szCs w:val="21"/>
          <w:lang w:bidi="ar"/>
        </w:rPr>
      </w:pPr>
    </w:p>
    <w:p>
      <w:pPr>
        <w:rPr>
          <w:rFonts w:hint="default" w:cs="宋体"/>
          <w:color w:val="000000"/>
          <w:sz w:val="21"/>
          <w:szCs w:val="21"/>
          <w:lang w:bidi="ar"/>
        </w:rPr>
      </w:pPr>
    </w:p>
    <w:p>
      <w:pPr>
        <w:pStyle w:val="10"/>
        <w:autoSpaceDE w:val="0"/>
        <w:ind w:firstLine="0" w:firstLineChars="0"/>
        <w:rPr>
          <w:rFonts w:cs="宋体"/>
          <w:sz w:val="21"/>
          <w:szCs w:val="21"/>
        </w:rPr>
      </w:pPr>
    </w:p>
    <w:sectPr>
      <w:headerReference r:id="rId4" w:type="default"/>
      <w:footerReference r:id="rId5" w:type="default"/>
      <w:pgSz w:w="23811" w:h="16838" w:orient="landscape"/>
      <w:pgMar w:top="567" w:right="454" w:bottom="567" w:left="103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default"/>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rPr>
                          </w:pPr>
                          <w:r>
                            <w:fldChar w:fldCharType="begin"/>
                          </w:r>
                          <w:r>
                            <w:instrText xml:space="preserve"> PAGE  \* MERGEFORMAT </w:instrText>
                          </w:r>
                          <w:r>
                            <w:fldChar w:fldCharType="separate"/>
                          </w:r>
                          <w:r>
                            <w:rPr>
                              <w:rFonts w:hint="default"/>
                            </w:rPr>
                            <w:t>- 21 -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2"/>
                      <w:rPr>
                        <w:rFonts w:hint="default"/>
                      </w:rPr>
                    </w:pPr>
                    <w:r>
                      <w:fldChar w:fldCharType="begin"/>
                    </w:r>
                    <w:r>
                      <w:instrText xml:space="preserve"> PAGE  \* MERGEFORMAT </w:instrText>
                    </w:r>
                    <w:r>
                      <w:fldChar w:fldCharType="separate"/>
                    </w:r>
                    <w:r>
                      <w:rPr>
                        <w:rFonts w:hint="default"/>
                      </w:rPr>
                      <w:t>- 21 -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zSVju0AAAAAUBAAAPAAAAAAAAAAEA&#10;IAAAACIAAABkcnMvZG93bnJldi54bWxQSwECFAAUAAAACACHTuJAsPgxiRcCAAAZBAAADgAAAAAA&#10;AAABACAAAAAfAQAAZHJzL2Uyb0RvYy54bWxQSwUGAAAAAAYABgBZAQAAqAUAAAAA&#10;">
              <v:fill on="f" focussize="0,0"/>
              <v:stroke on="f" weight="0.5pt"/>
              <v:imagedata o:title=""/>
              <o:lock v:ext="edit" aspectratio="f"/>
              <v:textbox inset="0mm,0mm,0mm,0mm" style="mso-fit-shape-to-text:t;">
                <w:txbxContent>
                  <w:p>
                    <w:pPr>
                      <w:pStyle w:val="2"/>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33 -</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pPr>
                            <w:pStyle w:val="2"/>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A1UVNgAAAAKAQAA&#10;DwAAAAAAAAABACAAAAAiAAAAZHJzL2Rvd25yZXYueG1sUEsBAhQAFAAAAAgAh07iQG8zbR0ZAgAA&#10;GAQAAA4AAAAAAAAAAQAgAAAAJwEAAGRycy9lMm9Eb2MueG1sUEsFBgAAAAAGAAYAWQEAALIFAAAA&#10;AA==&#10;">
              <v:fill on="f" focussize="0,0"/>
              <v:stroke on="f" weight="0.5pt"/>
              <v:imagedata o:title=""/>
              <o:lock v:ext="edit" aspectratio="f"/>
              <v:textbox inset="0mm,0mm,0mm,0mm">
                <w:txbxContent>
                  <w:p>
                    <w:pPr>
                      <w:pStyle w:val="2"/>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wYWQ1YTE0ZDA0NjgxYzlhMjZlMDExNTFmMWI3MmEifQ=="/>
  </w:docVars>
  <w:rsids>
    <w:rsidRoot w:val="00B03CCD"/>
    <w:rsid w:val="00550ABE"/>
    <w:rsid w:val="005F0C71"/>
    <w:rsid w:val="007B419D"/>
    <w:rsid w:val="009B67B8"/>
    <w:rsid w:val="00B03CCD"/>
    <w:rsid w:val="00B60C51"/>
    <w:rsid w:val="00C030F4"/>
    <w:rsid w:val="00C6691C"/>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EDC59ED"/>
    <w:rsid w:val="0F836721"/>
    <w:rsid w:val="0FA25D96"/>
    <w:rsid w:val="107B59E5"/>
    <w:rsid w:val="10B15FB0"/>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85708E"/>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18E0D00"/>
    <w:rsid w:val="22403BD3"/>
    <w:rsid w:val="24B92327"/>
    <w:rsid w:val="24C14514"/>
    <w:rsid w:val="2533755C"/>
    <w:rsid w:val="25791755"/>
    <w:rsid w:val="26396DF4"/>
    <w:rsid w:val="27167136"/>
    <w:rsid w:val="27B23302"/>
    <w:rsid w:val="28452BF1"/>
    <w:rsid w:val="29310A5F"/>
    <w:rsid w:val="29C37A35"/>
    <w:rsid w:val="2A076083"/>
    <w:rsid w:val="2A73162E"/>
    <w:rsid w:val="2A9A25C5"/>
    <w:rsid w:val="2B167953"/>
    <w:rsid w:val="2B200583"/>
    <w:rsid w:val="2B8209DE"/>
    <w:rsid w:val="2C17158D"/>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EF6A4F"/>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C0426B1"/>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A3CBC"/>
    <w:rsid w:val="5582012B"/>
    <w:rsid w:val="558E4E05"/>
    <w:rsid w:val="55BE2E85"/>
    <w:rsid w:val="56530F5D"/>
    <w:rsid w:val="567700D3"/>
    <w:rsid w:val="56FF7E9E"/>
    <w:rsid w:val="578867FC"/>
    <w:rsid w:val="5842572D"/>
    <w:rsid w:val="5A3B59D6"/>
    <w:rsid w:val="5AD134D8"/>
    <w:rsid w:val="5C263CE4"/>
    <w:rsid w:val="5C5B3109"/>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AD2300"/>
    <w:rsid w:val="6B474EF5"/>
    <w:rsid w:val="6C0A5AC5"/>
    <w:rsid w:val="6C370BBB"/>
    <w:rsid w:val="6C560CAE"/>
    <w:rsid w:val="6C576495"/>
    <w:rsid w:val="6D903FF5"/>
    <w:rsid w:val="6DA955B8"/>
    <w:rsid w:val="6DE346AB"/>
    <w:rsid w:val="6DE5391A"/>
    <w:rsid w:val="6EFD1324"/>
    <w:rsid w:val="6F5A53AC"/>
    <w:rsid w:val="6FAC003D"/>
    <w:rsid w:val="6FE55E12"/>
    <w:rsid w:val="6FFB2E76"/>
    <w:rsid w:val="708F6F7F"/>
    <w:rsid w:val="70D94BD3"/>
    <w:rsid w:val="719049FF"/>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CF1429E"/>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szCs w:val="18"/>
    </w:rPr>
  </w:style>
  <w:style w:type="paragraph" w:styleId="3">
    <w:name w:val="header"/>
    <w:basedOn w:val="1"/>
    <w:qFormat/>
    <w:uiPriority w:val="0"/>
    <w:pP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5">
    <w:name w:val="Normal (Web)"/>
    <w:basedOn w:val="1"/>
    <w:unhideWhenUsed/>
    <w:qFormat/>
    <w:uiPriority w:val="0"/>
    <w:pPr>
      <w:spacing w:before="100" w:beforeAutospacing="1" w:after="100" w:afterAutospacing="1"/>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qFormat/>
    <w:uiPriority w:val="0"/>
    <w:rPr>
      <w:b/>
    </w:rPr>
  </w:style>
  <w:style w:type="paragraph" w:customStyle="1" w:styleId="10">
    <w:name w:val="列出段落1"/>
    <w:basedOn w:val="1"/>
    <w:qFormat/>
    <w:uiPriority w:val="99"/>
    <w:pPr>
      <w:ind w:firstLine="420" w:firstLineChars="200"/>
    </w:pPr>
    <w:rPr>
      <w:rFonts w:hint="default"/>
    </w:rPr>
  </w:style>
  <w:style w:type="paragraph" w:customStyle="1" w:styleId="11">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2">
    <w:name w:val="21"/>
    <w:qFormat/>
    <w:uiPriority w:val="0"/>
    <w:rPr>
      <w:rFonts w:hint="default" w:ascii="Wingdings" w:hAnsi="Wingdings" w:cs="Wingdings"/>
      <w:b/>
      <w:bCs/>
    </w:rPr>
  </w:style>
  <w:style w:type="paragraph" w:customStyle="1" w:styleId="13">
    <w:name w:val="列出段落2"/>
    <w:qFormat/>
    <w:uiPriority w:val="99"/>
    <w:pPr>
      <w:ind w:firstLine="420" w:firstLineChars="200"/>
    </w:pPr>
    <w:rPr>
      <w:rFonts w:ascii="宋体" w:hAnsi="宋体"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33</Pages>
  <Words>4062</Words>
  <Characters>23155</Characters>
  <Lines>192</Lines>
  <Paragraphs>54</Paragraphs>
  <TotalTime>116</TotalTime>
  <ScaleCrop>false</ScaleCrop>
  <LinksUpToDate>false</LinksUpToDate>
  <CharactersWithSpaces>27163</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Administrator</cp:lastModifiedBy>
  <cp:lastPrinted>2024-10-17T03:02:00Z</cp:lastPrinted>
  <dcterms:modified xsi:type="dcterms:W3CDTF">2024-11-18T03:32:31Z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BB46EABDBB2749749395447164B066B3_12</vt:lpwstr>
  </property>
</Properties>
</file>