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94"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重庆市长寿区民政局婚姻登记处202</w:t>
      </w:r>
      <w:r>
        <w:rPr>
          <w:rFonts w:hint="eastAsia" w:ascii="方正小标宋_GBK" w:hAnsi="方正小标宋_GBK" w:eastAsia="方正小标宋_GBK" w:cs="方正小标宋_GBK"/>
          <w:sz w:val="44"/>
          <w:szCs w:val="44"/>
          <w:lang w:val="en-US" w:eastAsia="zh-CN"/>
        </w:rPr>
        <w:t>4</w:t>
      </w:r>
      <w:r>
        <w:rPr>
          <w:rFonts w:hint="eastAsia" w:ascii="方正小标宋_GBK" w:hAnsi="方正小标宋_GBK" w:eastAsia="方正小标宋_GBK" w:cs="方正小标宋_GBK"/>
          <w:sz w:val="44"/>
          <w:szCs w:val="44"/>
        </w:rPr>
        <w:t>年</w:t>
      </w:r>
    </w:p>
    <w:p>
      <w:pPr>
        <w:adjustRightInd w:val="0"/>
        <w:snapToGrid w:val="0"/>
        <w:spacing w:line="594" w:lineRule="exact"/>
        <w:jc w:val="center"/>
        <w:rPr>
          <w:rFonts w:eastAsia="方正仿宋_GBK"/>
          <w:sz w:val="32"/>
        </w:rPr>
      </w:pPr>
      <w:r>
        <w:rPr>
          <w:rFonts w:hint="eastAsia" w:ascii="方正小标宋_GBK" w:hAnsi="方正小标宋_GBK" w:eastAsia="方正小标宋_GBK" w:cs="方正小标宋_GBK"/>
          <w:sz w:val="44"/>
          <w:szCs w:val="44"/>
        </w:rPr>
        <w:t>部门预算情况说明</w:t>
      </w:r>
    </w:p>
    <w:p>
      <w:pPr>
        <w:spacing w:line="594" w:lineRule="exact"/>
        <w:jc w:val="center"/>
        <w:rPr>
          <w:rFonts w:hint="eastAsia"/>
        </w:rPr>
      </w:pPr>
    </w:p>
    <w:p>
      <w:pPr>
        <w:keepNext w:val="0"/>
        <w:keepLines w:val="0"/>
        <w:pageBreakBefore w:val="0"/>
        <w:widowControl w:val="0"/>
        <w:numPr>
          <w:ilvl w:val="0"/>
          <w:numId w:val="1"/>
        </w:numPr>
        <w:kinsoku/>
        <w:wordWrap/>
        <w:overflowPunct/>
        <w:topLinePunct w:val="0"/>
        <w:autoSpaceDE/>
        <w:autoSpaceDN/>
        <w:bidi w:val="0"/>
        <w:adjustRightInd/>
        <w:snapToGrid/>
        <w:spacing w:line="580" w:lineRule="atLeast"/>
        <w:ind w:firstLine="640" w:firstLineChars="200"/>
        <w:textAlignment w:val="auto"/>
        <w:rPr>
          <w:rFonts w:hint="eastAsia" w:ascii="黑体" w:hAnsi="黑体" w:eastAsia="黑体" w:cs="仿宋_GB2312"/>
          <w:sz w:val="32"/>
          <w:szCs w:val="22"/>
        </w:rPr>
      </w:pPr>
      <w:r>
        <w:rPr>
          <w:rFonts w:hint="eastAsia" w:ascii="黑体" w:hAnsi="黑体" w:eastAsia="黑体" w:cs="仿宋_GB2312"/>
          <w:sz w:val="32"/>
          <w:szCs w:val="22"/>
        </w:rPr>
        <w:t>单位基本情况</w:t>
      </w:r>
    </w:p>
    <w:p>
      <w:pPr>
        <w:keepNext w:val="0"/>
        <w:keepLines w:val="0"/>
        <w:pageBreakBefore w:val="0"/>
        <w:widowControl w:val="0"/>
        <w:kinsoku/>
        <w:wordWrap/>
        <w:overflowPunct/>
        <w:topLinePunct w:val="0"/>
        <w:autoSpaceDE/>
        <w:autoSpaceDN/>
        <w:bidi w:val="0"/>
        <w:adjustRightInd/>
        <w:snapToGrid/>
        <w:spacing w:line="580" w:lineRule="atLeast"/>
        <w:ind w:firstLine="640" w:firstLineChars="200"/>
        <w:textAlignment w:val="auto"/>
        <w:rPr>
          <w:rFonts w:hint="eastAsia" w:ascii="仿宋_GB2312" w:hAnsi="仿宋_GB2312" w:eastAsia="仿宋_GB2312" w:cs="仿宋_GB2312"/>
          <w:sz w:val="32"/>
          <w:szCs w:val="22"/>
        </w:rPr>
      </w:pPr>
      <w:r>
        <w:rPr>
          <w:rFonts w:hint="eastAsia" w:ascii="仿宋_GB2312" w:hAnsi="仿宋_GB2312" w:eastAsia="仿宋_GB2312" w:cs="仿宋_GB2312"/>
          <w:sz w:val="32"/>
          <w:szCs w:val="22"/>
        </w:rPr>
        <w:t>（一）职能职责</w:t>
      </w:r>
    </w:p>
    <w:p>
      <w:pPr>
        <w:keepNext w:val="0"/>
        <w:keepLines w:val="0"/>
        <w:pageBreakBefore w:val="0"/>
        <w:widowControl w:val="0"/>
        <w:numPr>
          <w:ilvl w:val="0"/>
          <w:numId w:val="0"/>
        </w:numPr>
        <w:kinsoku/>
        <w:wordWrap/>
        <w:overflowPunct/>
        <w:topLinePunct w:val="0"/>
        <w:autoSpaceDE/>
        <w:autoSpaceDN/>
        <w:bidi w:val="0"/>
        <w:adjustRightInd/>
        <w:snapToGrid/>
        <w:spacing w:line="580" w:lineRule="atLeast"/>
        <w:ind w:firstLine="640" w:firstLineChars="200"/>
        <w:textAlignment w:val="auto"/>
        <w:rPr>
          <w:rFonts w:hint="eastAsia" w:ascii="Times New Roman" w:hAnsi="Times New Roman" w:eastAsia="方正仿宋_GBK" w:cs="Times New Roman"/>
          <w:color w:val="auto"/>
          <w:sz w:val="32"/>
          <w:szCs w:val="32"/>
          <w:shd w:val="clear" w:color="auto" w:fill="auto"/>
          <w:lang w:val="en-US" w:eastAsia="zh-CN"/>
        </w:rPr>
      </w:pPr>
      <w:r>
        <w:rPr>
          <w:rFonts w:hint="eastAsia" w:ascii="Times New Roman" w:hAnsi="Times New Roman" w:eastAsia="方正仿宋_GBK" w:cs="Times New Roman"/>
          <w:color w:val="auto"/>
          <w:sz w:val="32"/>
          <w:szCs w:val="32"/>
          <w:shd w:val="clear" w:color="auto" w:fill="auto"/>
          <w:lang w:val="en-US" w:eastAsia="zh-CN"/>
        </w:rPr>
        <w:t>重庆市长寿区民政局婚姻登记处于2008年8月经区编委批准设立，属区民政局直属事业单位（已于2011年参公）。主要职责：办理婚姻登记；补发婚姻登记证；收集和保存婚姻档案；宣传婚姻法律法规、倡导文明婚俗；承办收养登记工作；承担民政局交办的其他工作。</w:t>
      </w:r>
    </w:p>
    <w:p>
      <w:pPr>
        <w:keepNext w:val="0"/>
        <w:keepLines w:val="0"/>
        <w:pageBreakBefore w:val="0"/>
        <w:widowControl w:val="0"/>
        <w:numPr>
          <w:ilvl w:val="0"/>
          <w:numId w:val="1"/>
        </w:numPr>
        <w:kinsoku/>
        <w:wordWrap/>
        <w:overflowPunct/>
        <w:topLinePunct w:val="0"/>
        <w:autoSpaceDE/>
        <w:autoSpaceDN/>
        <w:bidi w:val="0"/>
        <w:adjustRightInd/>
        <w:snapToGrid/>
        <w:spacing w:line="580" w:lineRule="atLeast"/>
        <w:ind w:firstLine="640" w:firstLineChars="200"/>
        <w:textAlignment w:val="auto"/>
        <w:rPr>
          <w:rFonts w:hint="eastAsia" w:ascii="黑体" w:hAnsi="黑体" w:eastAsia="黑体" w:cs="仿宋_GB2312"/>
          <w:sz w:val="32"/>
          <w:szCs w:val="22"/>
        </w:rPr>
      </w:pPr>
      <w:r>
        <w:rPr>
          <w:rFonts w:hint="eastAsia" w:ascii="黑体" w:hAnsi="黑体" w:eastAsia="黑体" w:cs="仿宋_GB2312"/>
          <w:sz w:val="32"/>
          <w:szCs w:val="22"/>
        </w:rPr>
        <w:t>部门收支总体情况</w:t>
      </w:r>
    </w:p>
    <w:p>
      <w:pPr>
        <w:keepNext w:val="0"/>
        <w:keepLines w:val="0"/>
        <w:pageBreakBefore w:val="0"/>
        <w:widowControl w:val="0"/>
        <w:numPr>
          <w:ilvl w:val="0"/>
          <w:numId w:val="2"/>
        </w:numPr>
        <w:kinsoku/>
        <w:wordWrap/>
        <w:overflowPunct/>
        <w:topLinePunct w:val="0"/>
        <w:autoSpaceDE/>
        <w:autoSpaceDN/>
        <w:bidi w:val="0"/>
        <w:adjustRightInd/>
        <w:snapToGrid/>
        <w:spacing w:line="580" w:lineRule="atLeast"/>
        <w:ind w:firstLine="640" w:firstLineChars="200"/>
        <w:textAlignment w:val="auto"/>
        <w:rPr>
          <w:rFonts w:hint="eastAsia" w:ascii="仿宋_GB2312" w:hAnsi="仿宋_GB2312" w:eastAsia="仿宋_GB2312" w:cs="仿宋_GB2312"/>
          <w:sz w:val="32"/>
          <w:szCs w:val="22"/>
        </w:rPr>
      </w:pPr>
      <w:r>
        <w:rPr>
          <w:rFonts w:hint="eastAsia" w:ascii="仿宋_GB2312" w:hAnsi="仿宋_GB2312" w:eastAsia="仿宋_GB2312" w:cs="仿宋_GB2312"/>
          <w:sz w:val="32"/>
          <w:szCs w:val="22"/>
          <w:lang w:val="en-US" w:eastAsia="zh-CN"/>
        </w:rPr>
        <w:t>收入预算</w:t>
      </w:r>
      <w:r>
        <w:rPr>
          <w:rFonts w:hint="eastAsia" w:ascii="仿宋_GB2312" w:hAnsi="仿宋_GB2312" w:eastAsia="仿宋_GB2312" w:cs="仿宋_GB2312"/>
          <w:sz w:val="32"/>
          <w:szCs w:val="22"/>
        </w:rPr>
        <w:t>：</w:t>
      </w:r>
      <w:r>
        <w:rPr>
          <w:rFonts w:hint="eastAsia" w:ascii="仿宋_GB2312" w:hAnsi="仿宋_GB2312" w:eastAsia="仿宋_GB2312" w:cs="仿宋_GB2312"/>
          <w:sz w:val="32"/>
          <w:szCs w:val="22"/>
          <w:lang w:val="en-US" w:eastAsia="zh-CN"/>
        </w:rPr>
        <w:t>2024年年初预算数168.03万元，其中：一般公共预算拨款168.03万元，政府性基金预算拨款0万元，国有资本经营预算收入0万元，事业收入0万元，事业单位经营收入0万元，其他收入0万元。</w:t>
      </w:r>
    </w:p>
    <w:p>
      <w:pPr>
        <w:keepNext w:val="0"/>
        <w:keepLines w:val="0"/>
        <w:pageBreakBefore w:val="0"/>
        <w:widowControl w:val="0"/>
        <w:numPr>
          <w:ilvl w:val="0"/>
          <w:numId w:val="2"/>
        </w:numPr>
        <w:kinsoku/>
        <w:wordWrap/>
        <w:overflowPunct/>
        <w:topLinePunct w:val="0"/>
        <w:autoSpaceDE/>
        <w:autoSpaceDN/>
        <w:bidi w:val="0"/>
        <w:adjustRightInd/>
        <w:snapToGrid/>
        <w:spacing w:line="580" w:lineRule="atLeast"/>
        <w:ind w:firstLine="640" w:firstLineChars="200"/>
        <w:textAlignment w:val="auto"/>
        <w:rPr>
          <w:rFonts w:hint="eastAsia" w:ascii="仿宋_GB2312" w:hAnsi="仿宋_GB2312" w:eastAsia="仿宋_GB2312" w:cs="仿宋_GB2312"/>
          <w:sz w:val="32"/>
          <w:szCs w:val="22"/>
          <w:lang w:val="en-US" w:eastAsia="zh-CN"/>
        </w:rPr>
      </w:pPr>
      <w:r>
        <w:rPr>
          <w:rFonts w:hint="eastAsia" w:ascii="仿宋_GB2312" w:hAnsi="仿宋_GB2312" w:eastAsia="仿宋_GB2312" w:cs="仿宋_GB2312"/>
          <w:sz w:val="32"/>
          <w:szCs w:val="22"/>
          <w:lang w:val="en-US" w:eastAsia="zh-CN"/>
        </w:rPr>
        <w:t>支出预算</w:t>
      </w:r>
      <w:r>
        <w:rPr>
          <w:rFonts w:hint="eastAsia" w:ascii="仿宋_GB2312" w:hAnsi="仿宋_GB2312" w:eastAsia="仿宋_GB2312" w:cs="仿宋_GB2312"/>
          <w:sz w:val="32"/>
          <w:szCs w:val="22"/>
        </w:rPr>
        <w:t>：</w:t>
      </w:r>
      <w:r>
        <w:rPr>
          <w:rFonts w:hint="eastAsia" w:ascii="仿宋_GB2312" w:hAnsi="仿宋_GB2312" w:eastAsia="仿宋_GB2312" w:cs="仿宋_GB2312"/>
          <w:sz w:val="32"/>
          <w:szCs w:val="22"/>
          <w:lang w:val="en-US" w:eastAsia="zh-CN"/>
        </w:rPr>
        <w:t>2024年年初预算数168.03万元，其中：一般公共服务支出168.03万元，教育支出0.65万元，社会保障和就业支出149.40万元，卫生健康支出8.00万元，住房保障支出9.97万元。</w:t>
      </w:r>
    </w:p>
    <w:p>
      <w:pPr>
        <w:keepNext w:val="0"/>
        <w:keepLines w:val="0"/>
        <w:pageBreakBefore w:val="0"/>
        <w:widowControl w:val="0"/>
        <w:numPr>
          <w:ilvl w:val="0"/>
          <w:numId w:val="1"/>
        </w:numPr>
        <w:kinsoku/>
        <w:wordWrap/>
        <w:overflowPunct/>
        <w:topLinePunct w:val="0"/>
        <w:autoSpaceDE/>
        <w:autoSpaceDN/>
        <w:bidi w:val="0"/>
        <w:adjustRightInd/>
        <w:snapToGrid/>
        <w:spacing w:line="580" w:lineRule="atLeast"/>
        <w:ind w:firstLine="640" w:firstLineChars="200"/>
        <w:textAlignment w:val="auto"/>
        <w:rPr>
          <w:rFonts w:hint="eastAsia" w:ascii="黑体" w:hAnsi="黑体" w:eastAsia="黑体" w:cs="仿宋_GB2312"/>
          <w:sz w:val="32"/>
          <w:szCs w:val="22"/>
        </w:rPr>
      </w:pPr>
      <w:r>
        <w:rPr>
          <w:rFonts w:hint="eastAsia" w:ascii="黑体" w:hAnsi="黑体" w:eastAsia="黑体" w:cs="仿宋_GB2312"/>
          <w:sz w:val="32"/>
          <w:szCs w:val="22"/>
        </w:rPr>
        <w:t>部门预算情况说明</w:t>
      </w:r>
    </w:p>
    <w:p>
      <w:pPr>
        <w:keepNext w:val="0"/>
        <w:keepLines w:val="0"/>
        <w:pageBreakBefore w:val="0"/>
        <w:widowControl w:val="0"/>
        <w:numPr>
          <w:ilvl w:val="0"/>
          <w:numId w:val="0"/>
        </w:numPr>
        <w:kinsoku/>
        <w:wordWrap/>
        <w:overflowPunct/>
        <w:topLinePunct w:val="0"/>
        <w:autoSpaceDE/>
        <w:autoSpaceDN/>
        <w:bidi w:val="0"/>
        <w:adjustRightInd/>
        <w:snapToGrid/>
        <w:spacing w:line="580" w:lineRule="atLeast"/>
        <w:ind w:firstLine="640" w:firstLineChars="200"/>
        <w:textAlignment w:val="auto"/>
        <w:rPr>
          <w:rFonts w:hint="eastAsia" w:ascii="仿宋_GB2312" w:hAnsi="仿宋_GB2312" w:eastAsia="仿宋_GB2312" w:cs="仿宋_GB2312"/>
          <w:sz w:val="32"/>
          <w:szCs w:val="22"/>
          <w:lang w:eastAsia="zh-CN"/>
        </w:rPr>
      </w:pPr>
      <w:r>
        <w:rPr>
          <w:rFonts w:hint="eastAsia" w:ascii="仿宋_GB2312" w:hAnsi="仿宋_GB2312" w:eastAsia="仿宋_GB2312" w:cs="仿宋_GB2312"/>
          <w:sz w:val="32"/>
          <w:szCs w:val="22"/>
          <w:lang w:eastAsia="zh-CN"/>
        </w:rPr>
        <w:t>202</w:t>
      </w:r>
      <w:r>
        <w:rPr>
          <w:rFonts w:hint="eastAsia" w:ascii="仿宋_GB2312" w:hAnsi="仿宋_GB2312" w:eastAsia="仿宋_GB2312" w:cs="仿宋_GB2312"/>
          <w:sz w:val="32"/>
          <w:szCs w:val="22"/>
          <w:lang w:val="en-US" w:eastAsia="zh-CN"/>
        </w:rPr>
        <w:t>4</w:t>
      </w:r>
      <w:r>
        <w:rPr>
          <w:rFonts w:hint="eastAsia" w:ascii="仿宋_GB2312" w:hAnsi="仿宋_GB2312" w:eastAsia="仿宋_GB2312" w:cs="仿宋_GB2312"/>
          <w:sz w:val="32"/>
          <w:szCs w:val="22"/>
          <w:lang w:eastAsia="zh-CN"/>
        </w:rPr>
        <w:t>年一般公共预算财政拨款收入168.03万元，一般公共预算财政拨款支出168.03万元。其中：基本支出151.03万元（婚姻登记处从民政局本级拆分出来独立核算）；项目支出</w:t>
      </w:r>
      <w:r>
        <w:rPr>
          <w:rFonts w:hint="eastAsia" w:ascii="仿宋_GB2312" w:hAnsi="仿宋_GB2312" w:eastAsia="仿宋_GB2312" w:cs="仿宋_GB2312"/>
          <w:sz w:val="32"/>
          <w:szCs w:val="22"/>
          <w:lang w:val="en-US" w:eastAsia="zh-CN"/>
        </w:rPr>
        <w:t>17</w:t>
      </w:r>
      <w:r>
        <w:rPr>
          <w:rFonts w:hint="eastAsia" w:ascii="仿宋_GB2312" w:hAnsi="仿宋_GB2312" w:eastAsia="仿宋_GB2312" w:cs="仿宋_GB2312"/>
          <w:sz w:val="32"/>
          <w:szCs w:val="22"/>
          <w:lang w:eastAsia="zh-CN"/>
        </w:rPr>
        <w:t>万元，主要用于免费办证婚姻登记档案保管费及收养评估经费。</w:t>
      </w:r>
    </w:p>
    <w:p>
      <w:pPr>
        <w:keepNext w:val="0"/>
        <w:keepLines w:val="0"/>
        <w:pageBreakBefore w:val="0"/>
        <w:widowControl w:val="0"/>
        <w:numPr>
          <w:ilvl w:val="0"/>
          <w:numId w:val="1"/>
        </w:numPr>
        <w:kinsoku/>
        <w:wordWrap/>
        <w:overflowPunct/>
        <w:topLinePunct w:val="0"/>
        <w:autoSpaceDE/>
        <w:autoSpaceDN/>
        <w:bidi w:val="0"/>
        <w:adjustRightInd/>
        <w:snapToGrid/>
        <w:spacing w:line="580" w:lineRule="atLeast"/>
        <w:ind w:firstLine="640" w:firstLineChars="200"/>
        <w:textAlignment w:val="auto"/>
        <w:rPr>
          <w:rFonts w:hint="eastAsia" w:ascii="黑体" w:hAnsi="黑体" w:eastAsia="黑体" w:cs="仿宋_GB2312"/>
          <w:sz w:val="32"/>
          <w:szCs w:val="22"/>
        </w:rPr>
      </w:pPr>
      <w:r>
        <w:rPr>
          <w:rFonts w:hint="eastAsia" w:ascii="黑体" w:hAnsi="黑体" w:eastAsia="黑体" w:cs="仿宋_GB2312"/>
          <w:sz w:val="32"/>
          <w:szCs w:val="22"/>
        </w:rPr>
        <w:t>“三公”经费情况说明</w:t>
      </w:r>
    </w:p>
    <w:p>
      <w:pPr>
        <w:keepNext w:val="0"/>
        <w:keepLines w:val="0"/>
        <w:pageBreakBefore w:val="0"/>
        <w:widowControl w:val="0"/>
        <w:kinsoku/>
        <w:wordWrap/>
        <w:overflowPunct/>
        <w:topLinePunct w:val="0"/>
        <w:autoSpaceDE/>
        <w:autoSpaceDN/>
        <w:bidi w:val="0"/>
        <w:adjustRightInd/>
        <w:snapToGrid/>
        <w:spacing w:line="580" w:lineRule="atLeast"/>
        <w:ind w:firstLine="600"/>
        <w:textAlignment w:val="auto"/>
        <w:rPr>
          <w:rFonts w:hint="eastAsia" w:ascii="仿宋_GB2312" w:hAnsi="仿宋_GB2312" w:eastAsia="仿宋_GB2312" w:cs="仿宋_GB2312"/>
          <w:sz w:val="32"/>
          <w:szCs w:val="22"/>
          <w:lang w:eastAsia="zh-CN"/>
        </w:rPr>
      </w:pPr>
      <w:r>
        <w:rPr>
          <w:rFonts w:hint="eastAsia" w:ascii="仿宋_GB2312" w:hAnsi="仿宋_GB2312" w:eastAsia="仿宋_GB2312" w:cs="仿宋_GB2312"/>
          <w:sz w:val="32"/>
          <w:szCs w:val="22"/>
          <w:lang w:eastAsia="zh-CN"/>
        </w:rPr>
        <w:t>202</w:t>
      </w:r>
      <w:r>
        <w:rPr>
          <w:rFonts w:hint="eastAsia" w:ascii="仿宋_GB2312" w:hAnsi="仿宋_GB2312" w:eastAsia="仿宋_GB2312" w:cs="仿宋_GB2312"/>
          <w:sz w:val="32"/>
          <w:szCs w:val="22"/>
          <w:lang w:val="en-US" w:eastAsia="zh-CN"/>
        </w:rPr>
        <w:t>4</w:t>
      </w:r>
      <w:r>
        <w:rPr>
          <w:rFonts w:hint="eastAsia" w:ascii="仿宋_GB2312" w:hAnsi="仿宋_GB2312" w:eastAsia="仿宋_GB2312" w:cs="仿宋_GB2312"/>
          <w:sz w:val="32"/>
          <w:szCs w:val="22"/>
          <w:lang w:eastAsia="zh-CN"/>
        </w:rPr>
        <w:t>年“三公”经费预算0</w:t>
      </w:r>
      <w:r>
        <w:rPr>
          <w:rFonts w:hint="eastAsia" w:ascii="仿宋_GB2312" w:hAnsi="仿宋_GB2312" w:eastAsia="仿宋_GB2312" w:cs="仿宋_GB2312"/>
          <w:sz w:val="32"/>
          <w:szCs w:val="22"/>
          <w:lang w:val="en-US" w:eastAsia="zh-CN"/>
        </w:rPr>
        <w:t>.2</w:t>
      </w:r>
      <w:r>
        <w:rPr>
          <w:rFonts w:hint="eastAsia" w:ascii="仿宋_GB2312" w:hAnsi="仿宋_GB2312" w:eastAsia="仿宋_GB2312" w:cs="仿宋_GB2312"/>
          <w:sz w:val="32"/>
          <w:szCs w:val="22"/>
          <w:lang w:eastAsia="zh-CN"/>
        </w:rPr>
        <w:t>万元。其中：因公出国（境）费用0万元，主要原因是无因公出国；公务接待费0</w:t>
      </w:r>
      <w:r>
        <w:rPr>
          <w:rFonts w:hint="eastAsia" w:ascii="仿宋_GB2312" w:hAnsi="仿宋_GB2312" w:eastAsia="仿宋_GB2312" w:cs="仿宋_GB2312"/>
          <w:sz w:val="32"/>
          <w:szCs w:val="22"/>
          <w:lang w:val="en-US" w:eastAsia="zh-CN"/>
        </w:rPr>
        <w:t>.2</w:t>
      </w:r>
      <w:r>
        <w:rPr>
          <w:rFonts w:hint="eastAsia" w:ascii="仿宋_GB2312" w:hAnsi="仿宋_GB2312" w:eastAsia="仿宋_GB2312" w:cs="仿宋_GB2312"/>
          <w:sz w:val="32"/>
          <w:szCs w:val="22"/>
          <w:lang w:eastAsia="zh-CN"/>
        </w:rPr>
        <w:t>万元（婚姻登记处从民政局本级拆分出来独立核算）；公务用车购置费0万元，主要原因是无公务用车购置。</w:t>
      </w:r>
    </w:p>
    <w:p>
      <w:pPr>
        <w:keepNext w:val="0"/>
        <w:keepLines w:val="0"/>
        <w:pageBreakBefore w:val="0"/>
        <w:widowControl w:val="0"/>
        <w:numPr>
          <w:ilvl w:val="0"/>
          <w:numId w:val="1"/>
        </w:numPr>
        <w:kinsoku/>
        <w:wordWrap/>
        <w:overflowPunct/>
        <w:topLinePunct w:val="0"/>
        <w:autoSpaceDE/>
        <w:autoSpaceDN/>
        <w:bidi w:val="0"/>
        <w:adjustRightInd/>
        <w:snapToGrid/>
        <w:spacing w:line="580" w:lineRule="atLeast"/>
        <w:ind w:firstLine="640" w:firstLineChars="200"/>
        <w:textAlignment w:val="auto"/>
        <w:rPr>
          <w:rFonts w:hint="eastAsia" w:ascii="黑体" w:hAnsi="黑体" w:eastAsia="黑体" w:cs="仿宋_GB2312"/>
          <w:sz w:val="32"/>
          <w:szCs w:val="22"/>
        </w:rPr>
      </w:pPr>
      <w:r>
        <w:rPr>
          <w:rFonts w:hint="eastAsia" w:ascii="黑体" w:hAnsi="黑体" w:eastAsia="黑体" w:cs="仿宋_GB2312"/>
          <w:sz w:val="32"/>
          <w:szCs w:val="22"/>
        </w:rPr>
        <w:t>其他重要事项的情况说明</w:t>
      </w:r>
    </w:p>
    <w:p>
      <w:pPr>
        <w:keepNext w:val="0"/>
        <w:keepLines w:val="0"/>
        <w:pageBreakBefore w:val="0"/>
        <w:widowControl w:val="0"/>
        <w:numPr>
          <w:ilvl w:val="0"/>
          <w:numId w:val="0"/>
        </w:numPr>
        <w:kinsoku/>
        <w:wordWrap/>
        <w:overflowPunct/>
        <w:topLinePunct w:val="0"/>
        <w:autoSpaceDE/>
        <w:autoSpaceDN/>
        <w:bidi w:val="0"/>
        <w:adjustRightInd/>
        <w:snapToGrid/>
        <w:spacing w:line="580" w:lineRule="atLeast"/>
        <w:ind w:firstLine="640" w:firstLineChars="200"/>
        <w:textAlignment w:val="auto"/>
        <w:rPr>
          <w:rFonts w:hint="eastAsia" w:ascii="仿宋_GB2312" w:hAnsi="仿宋_GB2312" w:eastAsia="仿宋_GB2312" w:cs="仿宋_GB2312"/>
          <w:sz w:val="32"/>
          <w:szCs w:val="22"/>
          <w:lang w:eastAsia="zh-CN"/>
        </w:rPr>
      </w:pPr>
      <w:r>
        <w:rPr>
          <w:rFonts w:hint="eastAsia" w:ascii="仿宋_GB2312" w:hAnsi="仿宋_GB2312" w:eastAsia="仿宋_GB2312" w:cs="仿宋_GB2312"/>
          <w:sz w:val="32"/>
          <w:szCs w:val="22"/>
          <w:lang w:eastAsia="zh-CN"/>
        </w:rPr>
        <w:t>1、机关运行经费。202</w:t>
      </w:r>
      <w:r>
        <w:rPr>
          <w:rFonts w:hint="eastAsia" w:ascii="仿宋_GB2312" w:hAnsi="仿宋_GB2312" w:eastAsia="仿宋_GB2312" w:cs="仿宋_GB2312"/>
          <w:sz w:val="32"/>
          <w:szCs w:val="22"/>
          <w:lang w:val="en-US" w:eastAsia="zh-CN"/>
        </w:rPr>
        <w:t>4</w:t>
      </w:r>
      <w:r>
        <w:rPr>
          <w:rFonts w:hint="eastAsia" w:ascii="仿宋_GB2312" w:hAnsi="仿宋_GB2312" w:eastAsia="仿宋_GB2312" w:cs="仿宋_GB2312"/>
          <w:sz w:val="32"/>
          <w:szCs w:val="22"/>
          <w:lang w:eastAsia="zh-CN"/>
        </w:rPr>
        <w:t>年一般公共预算财政拨款运行经费</w:t>
      </w:r>
      <w:r>
        <w:rPr>
          <w:rFonts w:hint="eastAsia" w:ascii="仿宋_GB2312" w:hAnsi="仿宋_GB2312" w:eastAsia="仿宋_GB2312" w:cs="仿宋_GB2312"/>
          <w:sz w:val="32"/>
          <w:szCs w:val="22"/>
          <w:lang w:val="en-US" w:eastAsia="zh-CN"/>
        </w:rPr>
        <w:t>26.03</w:t>
      </w:r>
      <w:r>
        <w:rPr>
          <w:rFonts w:hint="eastAsia" w:ascii="仿宋_GB2312" w:hAnsi="仿宋_GB2312" w:eastAsia="仿宋_GB2312" w:cs="仿宋_GB2312"/>
          <w:sz w:val="32"/>
          <w:szCs w:val="22"/>
          <w:lang w:eastAsia="zh-CN"/>
        </w:rPr>
        <w:t>万元，主要用于办公费、水电费、邮电费、培训费、公务接待费、工会经费、福利费及其他交通费用等。</w:t>
      </w:r>
    </w:p>
    <w:p>
      <w:pPr>
        <w:keepNext w:val="0"/>
        <w:keepLines w:val="0"/>
        <w:pageBreakBefore w:val="0"/>
        <w:widowControl w:val="0"/>
        <w:numPr>
          <w:ilvl w:val="0"/>
          <w:numId w:val="0"/>
        </w:numPr>
        <w:kinsoku/>
        <w:wordWrap/>
        <w:overflowPunct/>
        <w:topLinePunct w:val="0"/>
        <w:autoSpaceDE/>
        <w:autoSpaceDN/>
        <w:bidi w:val="0"/>
        <w:adjustRightInd/>
        <w:snapToGrid/>
        <w:spacing w:line="580" w:lineRule="atLeast"/>
        <w:ind w:firstLine="640" w:firstLineChars="200"/>
        <w:textAlignment w:val="auto"/>
        <w:rPr>
          <w:rFonts w:hint="eastAsia" w:ascii="仿宋_GB2312" w:hAnsi="仿宋_GB2312" w:eastAsia="仿宋_GB2312" w:cs="仿宋_GB2312"/>
          <w:sz w:val="32"/>
          <w:szCs w:val="22"/>
          <w:lang w:eastAsia="zh-CN"/>
        </w:rPr>
      </w:pPr>
      <w:r>
        <w:rPr>
          <w:rFonts w:hint="eastAsia" w:ascii="仿宋_GB2312" w:hAnsi="仿宋_GB2312" w:eastAsia="仿宋_GB2312" w:cs="仿宋_GB2312"/>
          <w:sz w:val="32"/>
          <w:szCs w:val="22"/>
          <w:lang w:eastAsia="zh-CN"/>
        </w:rPr>
        <w:t>2、政府采购情况。202</w:t>
      </w:r>
      <w:r>
        <w:rPr>
          <w:rFonts w:hint="eastAsia" w:ascii="仿宋_GB2312" w:hAnsi="仿宋_GB2312" w:eastAsia="仿宋_GB2312" w:cs="仿宋_GB2312"/>
          <w:sz w:val="32"/>
          <w:szCs w:val="22"/>
          <w:lang w:val="en-US" w:eastAsia="zh-CN"/>
        </w:rPr>
        <w:t>4</w:t>
      </w:r>
      <w:r>
        <w:rPr>
          <w:rFonts w:hint="eastAsia" w:ascii="仿宋_GB2312" w:hAnsi="仿宋_GB2312" w:eastAsia="仿宋_GB2312" w:cs="仿宋_GB2312"/>
          <w:sz w:val="32"/>
          <w:szCs w:val="22"/>
          <w:lang w:eastAsia="zh-CN"/>
        </w:rPr>
        <w:t>年所属各预算单位政府采购预算总额</w:t>
      </w:r>
      <w:r>
        <w:rPr>
          <w:rFonts w:hint="eastAsia" w:ascii="仿宋_GB2312" w:hAnsi="仿宋_GB2312" w:eastAsia="仿宋_GB2312" w:cs="仿宋_GB2312"/>
          <w:sz w:val="32"/>
          <w:szCs w:val="22"/>
          <w:lang w:val="en-US" w:eastAsia="zh-CN"/>
        </w:rPr>
        <w:t>0</w:t>
      </w:r>
      <w:r>
        <w:rPr>
          <w:rFonts w:hint="eastAsia" w:ascii="仿宋_GB2312" w:hAnsi="仿宋_GB2312" w:eastAsia="仿宋_GB2312" w:cs="仿宋_GB2312"/>
          <w:sz w:val="32"/>
          <w:szCs w:val="22"/>
          <w:lang w:eastAsia="zh-CN"/>
        </w:rPr>
        <w:t>万元：政府采购货物预算</w:t>
      </w:r>
      <w:r>
        <w:rPr>
          <w:rFonts w:hint="eastAsia" w:ascii="仿宋_GB2312" w:hAnsi="仿宋_GB2312" w:eastAsia="仿宋_GB2312" w:cs="仿宋_GB2312"/>
          <w:sz w:val="32"/>
          <w:szCs w:val="22"/>
          <w:lang w:val="en-US" w:eastAsia="zh-CN"/>
        </w:rPr>
        <w:t>0</w:t>
      </w:r>
      <w:r>
        <w:rPr>
          <w:rFonts w:hint="eastAsia" w:ascii="仿宋_GB2312" w:hAnsi="仿宋_GB2312" w:eastAsia="仿宋_GB2312" w:cs="仿宋_GB2312"/>
          <w:sz w:val="32"/>
          <w:szCs w:val="22"/>
          <w:lang w:eastAsia="zh-CN"/>
        </w:rPr>
        <w:t>万元、政府采购工程预算0万元、政府采购服务预算0万元；其中一般公共预算拨款政府采购</w:t>
      </w:r>
      <w:r>
        <w:rPr>
          <w:rFonts w:hint="eastAsia" w:ascii="仿宋_GB2312" w:hAnsi="仿宋_GB2312" w:eastAsia="仿宋_GB2312" w:cs="仿宋_GB2312"/>
          <w:sz w:val="32"/>
          <w:szCs w:val="22"/>
          <w:lang w:val="en-US" w:eastAsia="zh-CN"/>
        </w:rPr>
        <w:t>0</w:t>
      </w:r>
      <w:r>
        <w:rPr>
          <w:rFonts w:hint="eastAsia" w:ascii="仿宋_GB2312" w:hAnsi="仿宋_GB2312" w:eastAsia="仿宋_GB2312" w:cs="仿宋_GB2312"/>
          <w:sz w:val="32"/>
          <w:szCs w:val="22"/>
          <w:lang w:eastAsia="zh-CN"/>
        </w:rPr>
        <w:t>万元：政府采购货物预算</w:t>
      </w:r>
      <w:r>
        <w:rPr>
          <w:rFonts w:hint="eastAsia" w:ascii="仿宋_GB2312" w:hAnsi="仿宋_GB2312" w:eastAsia="仿宋_GB2312" w:cs="仿宋_GB2312"/>
          <w:sz w:val="32"/>
          <w:szCs w:val="22"/>
          <w:lang w:val="en-US" w:eastAsia="zh-CN"/>
        </w:rPr>
        <w:t>0</w:t>
      </w:r>
      <w:r>
        <w:rPr>
          <w:rFonts w:hint="eastAsia" w:ascii="仿宋_GB2312" w:hAnsi="仿宋_GB2312" w:eastAsia="仿宋_GB2312" w:cs="仿宋_GB2312"/>
          <w:sz w:val="32"/>
          <w:szCs w:val="22"/>
          <w:lang w:eastAsia="zh-CN"/>
        </w:rPr>
        <w:t>万元、政府采购工程预算0万元、政府采购服务预算0万元。</w:t>
      </w:r>
    </w:p>
    <w:p>
      <w:pPr>
        <w:keepNext w:val="0"/>
        <w:keepLines w:val="0"/>
        <w:pageBreakBefore w:val="0"/>
        <w:widowControl w:val="0"/>
        <w:numPr>
          <w:ilvl w:val="0"/>
          <w:numId w:val="0"/>
        </w:numPr>
        <w:kinsoku/>
        <w:wordWrap/>
        <w:overflowPunct/>
        <w:topLinePunct w:val="0"/>
        <w:autoSpaceDE/>
        <w:autoSpaceDN/>
        <w:bidi w:val="0"/>
        <w:adjustRightInd/>
        <w:snapToGrid/>
        <w:spacing w:line="580" w:lineRule="atLeast"/>
        <w:ind w:firstLine="640" w:firstLineChars="200"/>
        <w:textAlignment w:val="auto"/>
        <w:rPr>
          <w:rFonts w:hint="eastAsia" w:ascii="仿宋_GB2312" w:hAnsi="仿宋_GB2312" w:eastAsia="仿宋_GB2312" w:cs="仿宋_GB2312"/>
          <w:sz w:val="32"/>
          <w:szCs w:val="22"/>
          <w:lang w:eastAsia="zh-CN"/>
        </w:rPr>
      </w:pPr>
      <w:r>
        <w:rPr>
          <w:rFonts w:hint="eastAsia" w:ascii="仿宋_GB2312" w:hAnsi="仿宋_GB2312" w:eastAsia="仿宋_GB2312" w:cs="仿宋_GB2312"/>
          <w:sz w:val="32"/>
          <w:szCs w:val="22"/>
          <w:lang w:eastAsia="zh-CN"/>
        </w:rPr>
        <w:t>3、绩效目标设置情况。根据预算绩效管理要求，本单位202</w:t>
      </w:r>
      <w:r>
        <w:rPr>
          <w:rFonts w:hint="eastAsia" w:ascii="仿宋_GB2312" w:hAnsi="仿宋_GB2312" w:eastAsia="仿宋_GB2312" w:cs="仿宋_GB2312"/>
          <w:sz w:val="32"/>
          <w:szCs w:val="22"/>
          <w:lang w:val="en-US" w:eastAsia="zh-CN"/>
        </w:rPr>
        <w:t>4</w:t>
      </w:r>
      <w:r>
        <w:rPr>
          <w:rFonts w:hint="eastAsia" w:ascii="仿宋_GB2312" w:hAnsi="仿宋_GB2312" w:eastAsia="仿宋_GB2312" w:cs="仿宋_GB2312"/>
          <w:sz w:val="32"/>
          <w:szCs w:val="22"/>
          <w:lang w:eastAsia="zh-CN"/>
        </w:rPr>
        <w:t>年项目支出实行了绩效目标管理，涉及一般公共预算当年财政拨款</w:t>
      </w:r>
      <w:r>
        <w:rPr>
          <w:rFonts w:hint="eastAsia" w:ascii="仿宋_GB2312" w:hAnsi="仿宋_GB2312" w:eastAsia="仿宋_GB2312" w:cs="仿宋_GB2312"/>
          <w:sz w:val="32"/>
          <w:szCs w:val="22"/>
          <w:lang w:val="en-US" w:eastAsia="zh-CN"/>
        </w:rPr>
        <w:t>17</w:t>
      </w:r>
      <w:r>
        <w:rPr>
          <w:rFonts w:hint="eastAsia" w:ascii="仿宋_GB2312" w:hAnsi="仿宋_GB2312" w:eastAsia="仿宋_GB2312" w:cs="仿宋_GB2312"/>
          <w:sz w:val="32"/>
          <w:szCs w:val="22"/>
          <w:lang w:eastAsia="zh-CN"/>
        </w:rPr>
        <w:t>万元。其中：一般性项目</w:t>
      </w:r>
      <w:r>
        <w:rPr>
          <w:rFonts w:hint="eastAsia" w:ascii="仿宋_GB2312" w:hAnsi="仿宋_GB2312" w:eastAsia="仿宋_GB2312" w:cs="仿宋_GB2312"/>
          <w:sz w:val="32"/>
          <w:szCs w:val="22"/>
          <w:lang w:val="en-US" w:eastAsia="zh-CN"/>
        </w:rPr>
        <w:t>1</w:t>
      </w:r>
      <w:r>
        <w:rPr>
          <w:rFonts w:hint="eastAsia" w:ascii="仿宋_GB2312" w:hAnsi="仿宋_GB2312" w:eastAsia="仿宋_GB2312" w:cs="仿宋_GB2312"/>
          <w:sz w:val="32"/>
          <w:szCs w:val="22"/>
          <w:lang w:eastAsia="zh-CN"/>
        </w:rPr>
        <w:t>个，涉及资金</w:t>
      </w:r>
      <w:r>
        <w:rPr>
          <w:rFonts w:hint="eastAsia" w:ascii="仿宋_GB2312" w:hAnsi="仿宋_GB2312" w:eastAsia="仿宋_GB2312" w:cs="仿宋_GB2312"/>
          <w:sz w:val="32"/>
          <w:szCs w:val="22"/>
          <w:lang w:val="en-US" w:eastAsia="zh-CN"/>
        </w:rPr>
        <w:t>17</w:t>
      </w:r>
      <w:r>
        <w:rPr>
          <w:rFonts w:hint="eastAsia" w:ascii="仿宋_GB2312" w:hAnsi="仿宋_GB2312" w:eastAsia="仿宋_GB2312" w:cs="仿宋_GB2312"/>
          <w:sz w:val="32"/>
          <w:szCs w:val="22"/>
          <w:lang w:eastAsia="zh-CN"/>
        </w:rPr>
        <w:t>万元；重点专项0个，涉及资金0万元。</w:t>
      </w:r>
    </w:p>
    <w:p>
      <w:pPr>
        <w:keepNext w:val="0"/>
        <w:keepLines w:val="0"/>
        <w:pageBreakBefore w:val="0"/>
        <w:widowControl w:val="0"/>
        <w:numPr>
          <w:ilvl w:val="0"/>
          <w:numId w:val="0"/>
        </w:numPr>
        <w:kinsoku/>
        <w:wordWrap/>
        <w:overflowPunct/>
        <w:topLinePunct w:val="0"/>
        <w:autoSpaceDE/>
        <w:autoSpaceDN/>
        <w:bidi w:val="0"/>
        <w:adjustRightInd/>
        <w:snapToGrid/>
        <w:spacing w:line="580" w:lineRule="atLeast"/>
        <w:ind w:firstLine="640" w:firstLineChars="200"/>
        <w:textAlignment w:val="auto"/>
        <w:rPr>
          <w:rFonts w:hint="eastAsia" w:ascii="方正仿宋_GBK" w:hAnsi="方正仿宋_GBK" w:eastAsia="方正仿宋_GBK" w:cs="方正仿宋_GBK"/>
          <w:sz w:val="32"/>
          <w:szCs w:val="32"/>
          <w:highlight w:val="red"/>
        </w:rPr>
      </w:pPr>
      <w:r>
        <w:rPr>
          <w:rFonts w:hint="eastAsia" w:ascii="仿宋_GB2312" w:hAnsi="仿宋_GB2312" w:eastAsia="仿宋_GB2312" w:cs="仿宋_GB2312"/>
          <w:sz w:val="32"/>
          <w:szCs w:val="22"/>
          <w:lang w:eastAsia="zh-CN"/>
        </w:rPr>
        <w:t>4、国有资产占有使用情况。截至</w:t>
      </w:r>
      <w:bookmarkStart w:id="0" w:name="_GoBack"/>
      <w:bookmarkEnd w:id="0"/>
      <w:r>
        <w:rPr>
          <w:rFonts w:hint="eastAsia" w:ascii="仿宋_GB2312" w:hAnsi="仿宋_GB2312" w:eastAsia="仿宋_GB2312" w:cs="仿宋_GB2312"/>
          <w:sz w:val="32"/>
          <w:szCs w:val="22"/>
          <w:lang w:eastAsia="zh-CN"/>
        </w:rPr>
        <w:t>202</w:t>
      </w:r>
      <w:r>
        <w:rPr>
          <w:rFonts w:hint="eastAsia" w:ascii="仿宋_GB2312" w:hAnsi="仿宋_GB2312" w:eastAsia="仿宋_GB2312" w:cs="仿宋_GB2312"/>
          <w:sz w:val="32"/>
          <w:szCs w:val="22"/>
          <w:lang w:val="en-US" w:eastAsia="zh-CN"/>
        </w:rPr>
        <w:t>3</w:t>
      </w:r>
      <w:r>
        <w:rPr>
          <w:rFonts w:hint="eastAsia" w:ascii="仿宋_GB2312" w:hAnsi="仿宋_GB2312" w:eastAsia="仿宋_GB2312" w:cs="仿宋_GB2312"/>
          <w:sz w:val="32"/>
          <w:szCs w:val="22"/>
          <w:lang w:eastAsia="zh-CN"/>
        </w:rPr>
        <w:t>年12月，所属各预算单位共有车辆0辆，其中一般公务用车0辆、殡仪车0辆、执勤执法用车0辆。202</w:t>
      </w:r>
      <w:r>
        <w:rPr>
          <w:rFonts w:hint="eastAsia" w:ascii="仿宋_GB2312" w:hAnsi="仿宋_GB2312" w:eastAsia="仿宋_GB2312" w:cs="仿宋_GB2312"/>
          <w:sz w:val="32"/>
          <w:szCs w:val="22"/>
          <w:lang w:val="en-US" w:eastAsia="zh-CN"/>
        </w:rPr>
        <w:t>4</w:t>
      </w:r>
      <w:r>
        <w:rPr>
          <w:rFonts w:hint="eastAsia" w:ascii="仿宋_GB2312" w:hAnsi="仿宋_GB2312" w:eastAsia="仿宋_GB2312" w:cs="仿宋_GB2312"/>
          <w:sz w:val="32"/>
          <w:szCs w:val="22"/>
          <w:lang w:eastAsia="zh-CN"/>
        </w:rPr>
        <w:t>年一般公共预算安排购置车辆0辆，其中一般公务用车0辆、执勤执法用车0辆。</w:t>
      </w:r>
    </w:p>
    <w:p>
      <w:pPr>
        <w:keepNext w:val="0"/>
        <w:keepLines w:val="0"/>
        <w:pageBreakBefore w:val="0"/>
        <w:widowControl w:val="0"/>
        <w:numPr>
          <w:ilvl w:val="0"/>
          <w:numId w:val="1"/>
        </w:numPr>
        <w:kinsoku/>
        <w:wordWrap/>
        <w:overflowPunct/>
        <w:topLinePunct w:val="0"/>
        <w:autoSpaceDE/>
        <w:autoSpaceDN/>
        <w:bidi w:val="0"/>
        <w:adjustRightInd/>
        <w:snapToGrid/>
        <w:spacing w:line="580" w:lineRule="atLeast"/>
        <w:ind w:firstLine="640" w:firstLineChars="200"/>
        <w:textAlignment w:val="auto"/>
        <w:rPr>
          <w:rFonts w:hint="eastAsia" w:ascii="黑体" w:hAnsi="黑体" w:eastAsia="黑体" w:cs="仿宋_GB2312"/>
          <w:sz w:val="32"/>
          <w:szCs w:val="22"/>
        </w:rPr>
      </w:pPr>
      <w:r>
        <w:rPr>
          <w:rFonts w:hint="eastAsia" w:ascii="黑体" w:hAnsi="黑体" w:eastAsia="黑体" w:cs="仿宋_GB2312"/>
          <w:sz w:val="32"/>
          <w:szCs w:val="22"/>
        </w:rPr>
        <w:t>专业性名词解释</w:t>
      </w:r>
    </w:p>
    <w:p>
      <w:pPr>
        <w:keepNext w:val="0"/>
        <w:keepLines w:val="0"/>
        <w:pageBreakBefore w:val="0"/>
        <w:widowControl w:val="0"/>
        <w:kinsoku/>
        <w:wordWrap/>
        <w:overflowPunct/>
        <w:topLinePunct w:val="0"/>
        <w:autoSpaceDE/>
        <w:autoSpaceDN/>
        <w:bidi w:val="0"/>
        <w:adjustRightInd/>
        <w:snapToGrid/>
        <w:spacing w:line="580" w:lineRule="atLeast"/>
        <w:ind w:firstLine="600"/>
        <w:textAlignment w:val="auto"/>
        <w:rPr>
          <w:rFonts w:hint="eastAsia" w:ascii="仿宋_GB2312" w:hAnsi="仿宋_GB2312" w:eastAsia="仿宋_GB2312" w:cs="仿宋_GB2312"/>
          <w:sz w:val="32"/>
          <w:szCs w:val="22"/>
          <w:lang w:val="en-US" w:eastAsia="zh-CN"/>
        </w:rPr>
      </w:pPr>
      <w:r>
        <w:rPr>
          <w:rFonts w:hint="eastAsia" w:ascii="仿宋_GB2312" w:hAnsi="仿宋_GB2312" w:eastAsia="仿宋_GB2312" w:cs="仿宋_GB2312"/>
          <w:sz w:val="32"/>
          <w:szCs w:val="22"/>
          <w:lang w:val="en-US" w:eastAsia="zh-CN"/>
        </w:rPr>
        <w:t>以下为常见专业名词解释，部门应根据实际情况进行解释和增减。</w:t>
      </w:r>
    </w:p>
    <w:p>
      <w:pPr>
        <w:keepNext w:val="0"/>
        <w:keepLines w:val="0"/>
        <w:pageBreakBefore w:val="0"/>
        <w:widowControl w:val="0"/>
        <w:kinsoku/>
        <w:wordWrap/>
        <w:overflowPunct/>
        <w:topLinePunct w:val="0"/>
        <w:autoSpaceDE/>
        <w:autoSpaceDN/>
        <w:bidi w:val="0"/>
        <w:adjustRightInd/>
        <w:snapToGrid/>
        <w:spacing w:line="580" w:lineRule="atLeast"/>
        <w:ind w:firstLine="600"/>
        <w:textAlignment w:val="auto"/>
        <w:rPr>
          <w:rFonts w:hint="eastAsia" w:ascii="仿宋_GB2312" w:hAnsi="仿宋_GB2312" w:eastAsia="仿宋_GB2312" w:cs="仿宋_GB2312"/>
          <w:sz w:val="32"/>
          <w:szCs w:val="22"/>
          <w:lang w:val="en-US" w:eastAsia="zh-CN"/>
        </w:rPr>
      </w:pPr>
      <w:r>
        <w:rPr>
          <w:rFonts w:hint="eastAsia" w:ascii="仿宋_GB2312" w:hAnsi="仿宋_GB2312" w:eastAsia="仿宋_GB2312" w:cs="仿宋_GB2312"/>
          <w:sz w:val="32"/>
          <w:szCs w:val="22"/>
          <w:lang w:val="en-US" w:eastAsia="zh-CN"/>
        </w:rPr>
        <w:t>（一）财政拨款收入：指本年度从本级财政部门取得的财政拨款，包括一般公共预算财政拨款和政府性基金预算财政拨款。</w:t>
      </w:r>
    </w:p>
    <w:p>
      <w:pPr>
        <w:keepNext w:val="0"/>
        <w:keepLines w:val="0"/>
        <w:pageBreakBefore w:val="0"/>
        <w:widowControl w:val="0"/>
        <w:kinsoku/>
        <w:wordWrap/>
        <w:overflowPunct/>
        <w:topLinePunct w:val="0"/>
        <w:autoSpaceDE/>
        <w:autoSpaceDN/>
        <w:bidi w:val="0"/>
        <w:adjustRightInd/>
        <w:snapToGrid/>
        <w:spacing w:line="580" w:lineRule="atLeast"/>
        <w:ind w:firstLine="600"/>
        <w:textAlignment w:val="auto"/>
        <w:rPr>
          <w:rFonts w:hint="eastAsia" w:ascii="仿宋_GB2312" w:hAnsi="仿宋_GB2312" w:eastAsia="仿宋_GB2312" w:cs="仿宋_GB2312"/>
          <w:sz w:val="32"/>
          <w:szCs w:val="22"/>
          <w:lang w:val="en-US" w:eastAsia="zh-CN"/>
        </w:rPr>
      </w:pPr>
      <w:r>
        <w:rPr>
          <w:rFonts w:hint="eastAsia" w:ascii="仿宋_GB2312" w:hAnsi="仿宋_GB2312" w:eastAsia="仿宋_GB2312" w:cs="仿宋_GB2312"/>
          <w:sz w:val="32"/>
          <w:szCs w:val="22"/>
          <w:lang w:val="en-US" w:eastAsia="zh-CN"/>
        </w:rPr>
        <w:t>（二）其他收入：指单位取得的除“财政拨款收入”、“事业收入”、“经营收入”等以外的收入。</w:t>
      </w:r>
    </w:p>
    <w:p>
      <w:pPr>
        <w:keepNext w:val="0"/>
        <w:keepLines w:val="0"/>
        <w:pageBreakBefore w:val="0"/>
        <w:widowControl w:val="0"/>
        <w:kinsoku/>
        <w:wordWrap/>
        <w:overflowPunct/>
        <w:topLinePunct w:val="0"/>
        <w:autoSpaceDE/>
        <w:autoSpaceDN/>
        <w:bidi w:val="0"/>
        <w:adjustRightInd/>
        <w:snapToGrid/>
        <w:spacing w:line="580" w:lineRule="atLeast"/>
        <w:ind w:firstLine="600"/>
        <w:textAlignment w:val="auto"/>
        <w:rPr>
          <w:rFonts w:hint="eastAsia" w:ascii="仿宋_GB2312" w:hAnsi="仿宋_GB2312" w:eastAsia="仿宋_GB2312" w:cs="仿宋_GB2312"/>
          <w:sz w:val="32"/>
          <w:szCs w:val="22"/>
          <w:lang w:val="en-US" w:eastAsia="zh-CN"/>
        </w:rPr>
      </w:pPr>
      <w:r>
        <w:rPr>
          <w:rFonts w:hint="eastAsia" w:ascii="仿宋_GB2312" w:hAnsi="仿宋_GB2312" w:eastAsia="仿宋_GB2312" w:cs="仿宋_GB2312"/>
          <w:sz w:val="32"/>
          <w:szCs w:val="22"/>
          <w:lang w:val="en-US" w:eastAsia="zh-CN"/>
        </w:rPr>
        <w:t>（三）基本支出：指为保障机构正常运转、完成日常工作任务而发生的人员经费和公用经费。</w:t>
      </w:r>
    </w:p>
    <w:p>
      <w:pPr>
        <w:keepNext w:val="0"/>
        <w:keepLines w:val="0"/>
        <w:pageBreakBefore w:val="0"/>
        <w:widowControl w:val="0"/>
        <w:kinsoku/>
        <w:wordWrap/>
        <w:overflowPunct/>
        <w:topLinePunct w:val="0"/>
        <w:autoSpaceDE/>
        <w:autoSpaceDN/>
        <w:bidi w:val="0"/>
        <w:adjustRightInd/>
        <w:snapToGrid/>
        <w:spacing w:line="580" w:lineRule="atLeast"/>
        <w:ind w:firstLine="600"/>
        <w:textAlignment w:val="auto"/>
        <w:rPr>
          <w:rFonts w:hint="eastAsia" w:ascii="仿宋_GB2312" w:hAnsi="仿宋_GB2312" w:eastAsia="仿宋_GB2312" w:cs="仿宋_GB2312"/>
          <w:sz w:val="32"/>
          <w:szCs w:val="22"/>
          <w:lang w:val="en-US" w:eastAsia="zh-CN"/>
        </w:rPr>
      </w:pPr>
      <w:r>
        <w:rPr>
          <w:rFonts w:hint="eastAsia" w:ascii="仿宋_GB2312" w:hAnsi="仿宋_GB2312" w:eastAsia="仿宋_GB2312" w:cs="仿宋_GB2312"/>
          <w:sz w:val="32"/>
          <w:szCs w:val="22"/>
          <w:lang w:val="en-US" w:eastAsia="zh-CN"/>
        </w:rPr>
        <w:t>（四）项目支出：指在基本支出之外为完成特定行政任务和事业发展目标所发生的支出。</w:t>
      </w:r>
    </w:p>
    <w:p>
      <w:pPr>
        <w:keepNext w:val="0"/>
        <w:keepLines w:val="0"/>
        <w:pageBreakBefore w:val="0"/>
        <w:widowControl w:val="0"/>
        <w:kinsoku/>
        <w:wordWrap/>
        <w:overflowPunct/>
        <w:topLinePunct w:val="0"/>
        <w:autoSpaceDE/>
        <w:autoSpaceDN/>
        <w:bidi w:val="0"/>
        <w:adjustRightInd/>
        <w:snapToGrid/>
        <w:spacing w:line="580" w:lineRule="atLeast"/>
        <w:ind w:firstLine="600"/>
        <w:textAlignment w:val="auto"/>
        <w:rPr>
          <w:rFonts w:hint="eastAsia" w:ascii="仿宋_GB2312" w:hAnsi="仿宋_GB2312" w:eastAsia="仿宋_GB2312" w:cs="仿宋_GB2312"/>
          <w:sz w:val="32"/>
          <w:szCs w:val="22"/>
          <w:lang w:val="en-US" w:eastAsia="zh-CN"/>
        </w:rPr>
      </w:pPr>
      <w:r>
        <w:rPr>
          <w:rFonts w:hint="eastAsia" w:ascii="仿宋_GB2312" w:hAnsi="仿宋_GB2312" w:eastAsia="仿宋_GB2312" w:cs="仿宋_GB2312"/>
          <w:sz w:val="32"/>
          <w:szCs w:val="22"/>
          <w:lang w:val="en-US" w:eastAsia="zh-CN"/>
        </w:rPr>
        <w:t>（五）“三公”经费：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keepNext w:val="0"/>
        <w:keepLines w:val="0"/>
        <w:pageBreakBefore w:val="0"/>
        <w:widowControl w:val="0"/>
        <w:kinsoku/>
        <w:wordWrap/>
        <w:overflowPunct/>
        <w:topLinePunct w:val="0"/>
        <w:autoSpaceDE/>
        <w:autoSpaceDN/>
        <w:bidi w:val="0"/>
        <w:adjustRightInd/>
        <w:snapToGrid/>
        <w:spacing w:line="580" w:lineRule="atLeast"/>
        <w:textAlignment w:val="auto"/>
        <w:rPr>
          <w:rFonts w:hint="eastAsia" w:ascii="仿宋_GB2312" w:hAnsi="仿宋_GB2312" w:eastAsia="仿宋_GB2312" w:cs="仿宋_GB2312"/>
          <w:b/>
          <w:sz w:val="32"/>
          <w:szCs w:val="22"/>
          <w:lang w:val="en-US" w:eastAsia="zh-CN"/>
        </w:rPr>
      </w:pPr>
      <w:r>
        <w:rPr>
          <w:rFonts w:hint="eastAsia" w:ascii="仿宋_GB2312" w:hAnsi="仿宋_GB2312" w:eastAsia="仿宋_GB2312" w:cs="仿宋_GB2312"/>
          <w:b/>
          <w:sz w:val="32"/>
          <w:szCs w:val="22"/>
          <w:lang w:val="en-US" w:eastAsia="zh-CN"/>
        </w:rPr>
        <w:t>单位预算公开联系人：何馨    联系方式：电话：023-40406859</w:t>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方正书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Aldhabi">
    <w:panose1 w:val="01000000000000000000"/>
    <w:charset w:val="00"/>
    <w:family w:val="auto"/>
    <w:pitch w:val="default"/>
    <w:sig w:usb0="80002007" w:usb1="80000000" w:usb2="00000008" w:usb3="00000000" w:csb0="00000041" w:csb1="200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47F1BC"/>
    <w:multiLevelType w:val="singleLevel"/>
    <w:tmpl w:val="5847F1BC"/>
    <w:lvl w:ilvl="0" w:tentative="0">
      <w:start w:val="1"/>
      <w:numFmt w:val="chineseCounting"/>
      <w:suff w:val="nothing"/>
      <w:lvlText w:val="%1、"/>
      <w:lvlJc w:val="left"/>
    </w:lvl>
  </w:abstractNum>
  <w:abstractNum w:abstractNumId="1">
    <w:nsid w:val="61E77F6A"/>
    <w:multiLevelType w:val="singleLevel"/>
    <w:tmpl w:val="61E77F6A"/>
    <w:lvl w:ilvl="0" w:tentative="0">
      <w:start w:val="1"/>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AF04CD"/>
    <w:rsid w:val="0B177339"/>
    <w:rsid w:val="1777654D"/>
    <w:rsid w:val="1CEE4AFB"/>
    <w:rsid w:val="1D5F060E"/>
    <w:rsid w:val="2A8D1FFB"/>
    <w:rsid w:val="325A6A70"/>
    <w:rsid w:val="32E32B71"/>
    <w:rsid w:val="49843F94"/>
    <w:rsid w:val="4FC5119B"/>
    <w:rsid w:val="547979EB"/>
    <w:rsid w:val="55AA2AC1"/>
    <w:rsid w:val="560E4EB5"/>
    <w:rsid w:val="670932BF"/>
    <w:rsid w:val="677122E0"/>
    <w:rsid w:val="6E7F22D6"/>
    <w:rsid w:val="730B53A3"/>
    <w:rsid w:val="7BD53B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134</TotalTime>
  <ScaleCrop>false</ScaleCrop>
  <LinksUpToDate>false</LinksUpToDate>
  <CharactersWithSpaces>0</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2024-01-18T09:20:00Z</dcterms:created>
  <dc:creator>hp</dc:creator>
  <cp:lastModifiedBy>guest</cp:lastModifiedBy>
  <dcterms:modified xsi:type="dcterms:W3CDTF">2024-01-25T17:55:02Z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ies>
</file>