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91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00"/>
        <w:gridCol w:w="1310"/>
        <w:gridCol w:w="1440"/>
        <w:gridCol w:w="954"/>
        <w:gridCol w:w="2349"/>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3" w:hRule="atLeast"/>
          <w:jc w:val="center"/>
        </w:trPr>
        <w:tc>
          <w:tcPr>
            <w:tcW w:w="14917"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55" w:hRule="atLeast"/>
          <w:jc w:val="center"/>
        </w:trPr>
        <w:tc>
          <w:tcPr>
            <w:tcW w:w="14917"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bookmarkStart w:id="0" w:name="_GoBack"/>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关于长民政罚（2024）第6号行政处罚决定（重庆市长寿区榨菜协会）信息的公示</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长民政罚（2024）第6号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eastAsia="方正仿宋_GBK"/>
                <w:szCs w:val="21"/>
              </w:rPr>
              <w:t>2020年年检不合格，2021—2022年以来连续两年未按规定接受登记管理机关年度检查</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eastAsia="方正仿宋_GBK"/>
                <w:szCs w:val="21"/>
              </w:rPr>
              <w:t>重庆市长寿区榨菜协会</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tabs>
                <w:tab w:val="left" w:pos="1376"/>
              </w:tabs>
              <w:jc w:val="left"/>
              <w:textAlignment w:val="center"/>
              <w:rPr>
                <w:rFonts w:hint="default"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eastAsia="zh-CN"/>
              </w:rPr>
              <w:t>《社会团体登记管理条例》</w:t>
            </w:r>
            <w:r>
              <w:rPr>
                <w:rFonts w:hint="eastAsia" w:ascii="方正仿宋_GBK" w:hAnsi="方正仿宋_GBK" w:eastAsia="方正仿宋_GBK" w:cs="方正仿宋_GBK"/>
                <w:i w:val="0"/>
                <w:color w:val="000000"/>
                <w:sz w:val="24"/>
                <w:szCs w:val="24"/>
                <w:u w:val="none"/>
                <w:lang w:val="en-US" w:eastAsia="zh-CN"/>
              </w:rPr>
              <w:t>第三十条第一款第（三）项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撤销登记</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2024.11.20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12" w:hRule="atLeast"/>
          <w:jc w:val="center"/>
        </w:trPr>
        <w:tc>
          <w:tcPr>
            <w:tcW w:w="14917"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5D1446"/>
    <w:rsid w:val="635D1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2024-11-22T07:18:00Z</dcterms:created>
  <dc:creator>Administrator</dc:creator>
  <cp:lastModifiedBy>Administrator</cp:lastModifiedBy>
  <dcterms:modified xsi:type="dcterms:W3CDTF">2024-11-22T07:20:46Z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