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eastAsia="方正小标宋_GBK" w:cs="方正小标宋_GBK"/>
          <w:sz w:val="44"/>
          <w:szCs w:val="44"/>
        </w:rPr>
      </w:pPr>
      <w:r>
        <w:rPr>
          <w:rFonts w:hint="eastAsia" w:eastAsia="方正小标宋_GBK" w:cs="方正小标宋_GBK"/>
          <w:sz w:val="44"/>
          <w:szCs w:val="44"/>
        </w:rPr>
        <w:t>重庆市长寿区重污染天气应急预案</w:t>
      </w:r>
    </w:p>
    <w:p>
      <w:pPr>
        <w:spacing w:line="700" w:lineRule="exact"/>
        <w:jc w:val="center"/>
        <w:rPr>
          <w:rFonts w:eastAsia="方正小标宋_GBK" w:cs="方正小标宋_GBK"/>
          <w:sz w:val="44"/>
          <w:szCs w:val="44"/>
        </w:rPr>
      </w:pPr>
      <w:r>
        <w:rPr>
          <w:rFonts w:hint="eastAsia" w:eastAsia="方正小标宋_GBK" w:cs="方正小标宋_GBK"/>
          <w:sz w:val="44"/>
          <w:szCs w:val="44"/>
        </w:rPr>
        <w:t>（2023年修订版）</w:t>
      </w:r>
    </w:p>
    <w:p>
      <w:pPr>
        <w:spacing w:line="700" w:lineRule="exact"/>
        <w:jc w:val="center"/>
        <w:rPr>
          <w:rFonts w:eastAsia="方正小标宋_GBK" w:cs="方正小标宋_GBK"/>
          <w:sz w:val="44"/>
          <w:szCs w:val="44"/>
        </w:rPr>
      </w:pPr>
      <w:r>
        <w:rPr>
          <w:rFonts w:hint="eastAsia" w:eastAsia="方正小标宋_GBK" w:cs="方正小标宋_GBK"/>
          <w:sz w:val="44"/>
          <w:szCs w:val="44"/>
        </w:rPr>
        <w:t>（征求意见稿）</w:t>
      </w:r>
    </w:p>
    <w:p>
      <w:pPr>
        <w:ind w:firstLine="952"/>
        <w:jc w:val="center"/>
        <w:rPr>
          <w:rFonts w:eastAsia="黑体"/>
          <w:sz w:val="48"/>
          <w:szCs w:val="48"/>
        </w:rPr>
      </w:pPr>
    </w:p>
    <w:p>
      <w:pPr>
        <w:ind w:firstLine="952"/>
        <w:jc w:val="center"/>
        <w:rPr>
          <w:rFonts w:eastAsia="黑体"/>
          <w:sz w:val="48"/>
          <w:szCs w:val="48"/>
        </w:rPr>
      </w:pPr>
    </w:p>
    <w:p>
      <w:pPr>
        <w:ind w:firstLine="952"/>
        <w:jc w:val="center"/>
        <w:rPr>
          <w:rFonts w:eastAsia="黑体"/>
          <w:sz w:val="48"/>
          <w:szCs w:val="48"/>
        </w:rPr>
      </w:pPr>
    </w:p>
    <w:p>
      <w:pPr>
        <w:ind w:firstLine="952"/>
        <w:jc w:val="center"/>
        <w:rPr>
          <w:rFonts w:eastAsia="黑体"/>
          <w:sz w:val="48"/>
          <w:szCs w:val="48"/>
        </w:rPr>
      </w:pPr>
    </w:p>
    <w:p>
      <w:pPr>
        <w:ind w:firstLine="952"/>
        <w:jc w:val="center"/>
        <w:rPr>
          <w:rFonts w:eastAsia="黑体"/>
          <w:sz w:val="48"/>
          <w:szCs w:val="48"/>
        </w:rPr>
      </w:pPr>
    </w:p>
    <w:p>
      <w:pPr>
        <w:ind w:firstLine="952"/>
        <w:jc w:val="center"/>
        <w:rPr>
          <w:rFonts w:eastAsia="黑体"/>
          <w:sz w:val="48"/>
          <w:szCs w:val="48"/>
        </w:rPr>
      </w:pPr>
    </w:p>
    <w:p>
      <w:pPr>
        <w:ind w:firstLine="952"/>
        <w:jc w:val="center"/>
        <w:rPr>
          <w:rFonts w:eastAsia="黑体"/>
          <w:sz w:val="48"/>
          <w:szCs w:val="48"/>
        </w:rPr>
      </w:pPr>
    </w:p>
    <w:p>
      <w:pPr>
        <w:ind w:firstLine="952"/>
        <w:jc w:val="center"/>
        <w:rPr>
          <w:rFonts w:eastAsia="黑体"/>
          <w:sz w:val="48"/>
          <w:szCs w:val="48"/>
        </w:rPr>
      </w:pPr>
    </w:p>
    <w:p>
      <w:pPr>
        <w:ind w:firstLine="952"/>
        <w:jc w:val="center"/>
        <w:rPr>
          <w:rFonts w:eastAsia="黑体"/>
          <w:sz w:val="48"/>
          <w:szCs w:val="48"/>
        </w:rPr>
      </w:pPr>
    </w:p>
    <w:p>
      <w:pPr>
        <w:ind w:firstLine="952"/>
        <w:jc w:val="center"/>
        <w:rPr>
          <w:rFonts w:eastAsia="黑体"/>
          <w:sz w:val="48"/>
          <w:szCs w:val="48"/>
        </w:rPr>
      </w:pPr>
    </w:p>
    <w:p>
      <w:pPr>
        <w:pStyle w:val="6"/>
      </w:pPr>
    </w:p>
    <w:p>
      <w:pPr>
        <w:pStyle w:val="6"/>
      </w:pPr>
    </w:p>
    <w:p>
      <w:pPr>
        <w:pStyle w:val="6"/>
      </w:pPr>
    </w:p>
    <w:p>
      <w:pPr>
        <w:spacing w:line="700" w:lineRule="exact"/>
        <w:jc w:val="center"/>
        <w:rPr>
          <w:b/>
          <w:sz w:val="36"/>
          <w:szCs w:val="36"/>
        </w:rPr>
      </w:pPr>
    </w:p>
    <w:p>
      <w:pPr>
        <w:spacing w:line="700" w:lineRule="exact"/>
        <w:jc w:val="center"/>
        <w:rPr>
          <w:b/>
          <w:sz w:val="36"/>
          <w:szCs w:val="36"/>
        </w:rPr>
      </w:pPr>
    </w:p>
    <w:p>
      <w:pPr>
        <w:spacing w:line="700" w:lineRule="exact"/>
        <w:jc w:val="center"/>
        <w:rPr>
          <w:rFonts w:eastAsia="方正黑体_GBK" w:cs="方正黑体_GBK"/>
          <w:bCs/>
          <w:sz w:val="36"/>
          <w:szCs w:val="36"/>
        </w:rPr>
      </w:pPr>
      <w:r>
        <w:rPr>
          <w:rFonts w:hint="eastAsia" w:eastAsia="方正黑体_GBK" w:cs="方正黑体_GBK"/>
          <w:bCs/>
          <w:sz w:val="36"/>
          <w:szCs w:val="36"/>
        </w:rPr>
        <w:t>重庆市长寿区人民政府</w:t>
      </w:r>
    </w:p>
    <w:p>
      <w:pPr>
        <w:jc w:val="center"/>
        <w:rPr>
          <w:rFonts w:eastAsia="方正黑体_GBK" w:cs="方正黑体_GBK"/>
          <w:bCs/>
          <w:sz w:val="48"/>
          <w:szCs w:val="48"/>
        </w:rPr>
        <w:sectPr>
          <w:headerReference r:id="rId4" w:type="first"/>
          <w:footerReference r:id="rId7" w:type="first"/>
          <w:headerReference r:id="rId3" w:type="default"/>
          <w:footerReference r:id="rId5" w:type="default"/>
          <w:footerReference r:id="rId6" w:type="even"/>
          <w:pgSz w:w="11907" w:h="16840"/>
          <w:pgMar w:top="2098" w:right="1474" w:bottom="1984" w:left="1588" w:header="851" w:footer="1474" w:gutter="0"/>
          <w:pgNumType w:start="1"/>
          <w:cols w:space="720" w:num="1"/>
          <w:titlePg/>
          <w:docGrid w:type="linesAndChars" w:linePitch="579" w:charSpace="-842"/>
        </w:sectPr>
      </w:pPr>
      <w:r>
        <w:rPr>
          <w:rFonts w:hint="eastAsia" w:eastAsia="方正黑体_GBK" w:cs="方正黑体_GBK"/>
          <w:bCs/>
          <w:sz w:val="36"/>
          <w:szCs w:val="36"/>
        </w:rPr>
        <w:t>二〇二三年一月</w:t>
      </w:r>
    </w:p>
    <w:p>
      <w:pPr>
        <w:spacing w:beforeLines="50" w:afterLines="50"/>
        <w:ind w:firstLine="879"/>
        <w:jc w:val="center"/>
        <w:rPr>
          <w:rFonts w:eastAsia="方正黑体_GBK"/>
          <w:sz w:val="44"/>
          <w:szCs w:val="44"/>
        </w:rPr>
      </w:pPr>
      <w:r>
        <w:rPr>
          <w:rFonts w:eastAsia="方正黑体_GBK"/>
          <w:sz w:val="44"/>
          <w:szCs w:val="44"/>
        </w:rPr>
        <w:t>目  录</w:t>
      </w:r>
    </w:p>
    <w:p>
      <w:pPr>
        <w:pStyle w:val="14"/>
        <w:tabs>
          <w:tab w:val="right" w:leader="dot" w:pos="8835"/>
          <w:tab w:val="clear" w:pos="9060"/>
        </w:tabs>
        <w:ind w:firstLine="600"/>
        <w:rPr>
          <w:rFonts w:eastAsia="方正楷体_GBK"/>
          <w:sz w:val="28"/>
          <w:szCs w:val="28"/>
        </w:rPr>
      </w:pPr>
      <w:r>
        <w:rPr>
          <w:rFonts w:eastAsia="方正楷体_GBK"/>
          <w:sz w:val="28"/>
          <w:szCs w:val="28"/>
        </w:rPr>
        <w:fldChar w:fldCharType="begin"/>
      </w:r>
      <w:r>
        <w:rPr>
          <w:rFonts w:eastAsia="方正楷体_GBK"/>
          <w:sz w:val="28"/>
          <w:szCs w:val="28"/>
        </w:rPr>
        <w:instrText xml:space="preserve"> TOC \o "1-2" \h \z \u </w:instrText>
      </w:r>
      <w:r>
        <w:rPr>
          <w:rFonts w:eastAsia="方正楷体_GBK"/>
          <w:sz w:val="28"/>
          <w:szCs w:val="28"/>
        </w:rPr>
        <w:fldChar w:fldCharType="separate"/>
      </w:r>
      <w:r>
        <w:rPr>
          <w:sz w:val="28"/>
          <w:szCs w:val="28"/>
        </w:rPr>
        <w:fldChar w:fldCharType="begin"/>
      </w:r>
      <w:r>
        <w:rPr>
          <w:sz w:val="28"/>
          <w:szCs w:val="28"/>
        </w:rPr>
        <w:instrText xml:space="preserve"> HYPERLINK \l "_Toc101966201"</w:instrText>
      </w:r>
      <w:r>
        <w:rPr>
          <w:sz w:val="28"/>
          <w:szCs w:val="28"/>
        </w:rPr>
        <w:fldChar w:fldCharType="separate"/>
      </w:r>
      <w:r>
        <w:rPr>
          <w:rStyle w:val="22"/>
          <w:rFonts w:hint="eastAsia" w:ascii="方正黑体_GBK" w:eastAsia="方正黑体_GBK"/>
          <w:color w:val="auto"/>
          <w:sz w:val="28"/>
          <w:szCs w:val="28"/>
        </w:rPr>
        <w:t>1 总则</w:t>
      </w:r>
      <w:r>
        <w:rPr>
          <w:rFonts w:eastAsia="方正楷体_GBK"/>
          <w:sz w:val="28"/>
          <w:szCs w:val="28"/>
        </w:rPr>
        <w:tab/>
      </w:r>
      <w:r>
        <w:rPr>
          <w:rFonts w:hint="eastAsia" w:eastAsia="方正楷体_GBK"/>
          <w:sz w:val="28"/>
          <w:szCs w:val="28"/>
          <w:lang w:val="en-US" w:eastAsia="zh-CN"/>
        </w:rPr>
        <w:t>1</w:t>
      </w:r>
      <w:r>
        <w:rPr>
          <w:rFonts w:eastAsia="方正楷体_GBK"/>
          <w:sz w:val="28"/>
          <w:szCs w:val="28"/>
        </w:rPr>
        <w:fldChar w:fldCharType="end"/>
      </w:r>
    </w:p>
    <w:p>
      <w:pPr>
        <w:pStyle w:val="15"/>
        <w:tabs>
          <w:tab w:val="right" w:leader="dot" w:pos="8835"/>
          <w:tab w:val="clear" w:pos="9060"/>
        </w:tabs>
        <w:rPr>
          <w:rFonts w:eastAsia="方正楷体_GBK"/>
          <w:sz w:val="28"/>
          <w:szCs w:val="28"/>
        </w:rPr>
      </w:pPr>
      <w:r>
        <w:rPr>
          <w:sz w:val="28"/>
          <w:szCs w:val="28"/>
        </w:rPr>
        <w:fldChar w:fldCharType="begin"/>
      </w:r>
      <w:r>
        <w:rPr>
          <w:sz w:val="28"/>
          <w:szCs w:val="28"/>
        </w:rPr>
        <w:instrText xml:space="preserve"> HYPERLINK \l "_Toc101966202"</w:instrText>
      </w:r>
      <w:r>
        <w:rPr>
          <w:sz w:val="28"/>
          <w:szCs w:val="28"/>
        </w:rPr>
        <w:fldChar w:fldCharType="separate"/>
      </w:r>
      <w:r>
        <w:rPr>
          <w:rStyle w:val="22"/>
          <w:rFonts w:eastAsia="方正楷体_GBK"/>
          <w:color w:val="auto"/>
          <w:sz w:val="28"/>
          <w:szCs w:val="28"/>
        </w:rPr>
        <w:t>1.1编制目的</w:t>
      </w:r>
      <w:r>
        <w:rPr>
          <w:rFonts w:eastAsia="方正楷体_GBK"/>
          <w:sz w:val="28"/>
          <w:szCs w:val="28"/>
        </w:rPr>
        <w:tab/>
      </w:r>
      <w:r>
        <w:rPr>
          <w:rFonts w:hint="eastAsia" w:eastAsia="方正楷体_GBK"/>
          <w:sz w:val="28"/>
          <w:szCs w:val="28"/>
          <w:lang w:val="en-US" w:eastAsia="zh-CN"/>
        </w:rPr>
        <w:t>1</w:t>
      </w:r>
      <w:r>
        <w:rPr>
          <w:rFonts w:eastAsia="方正楷体_GBK"/>
          <w:sz w:val="28"/>
          <w:szCs w:val="28"/>
        </w:rPr>
        <w:fldChar w:fldCharType="end"/>
      </w:r>
    </w:p>
    <w:p>
      <w:pPr>
        <w:pStyle w:val="15"/>
        <w:tabs>
          <w:tab w:val="right" w:leader="dot" w:pos="8835"/>
          <w:tab w:val="clear" w:pos="9060"/>
        </w:tabs>
        <w:rPr>
          <w:rFonts w:eastAsia="方正楷体_GBK"/>
          <w:sz w:val="28"/>
          <w:szCs w:val="28"/>
        </w:rPr>
      </w:pPr>
      <w:r>
        <w:rPr>
          <w:sz w:val="28"/>
          <w:szCs w:val="28"/>
        </w:rPr>
        <w:fldChar w:fldCharType="begin"/>
      </w:r>
      <w:r>
        <w:rPr>
          <w:sz w:val="28"/>
          <w:szCs w:val="28"/>
        </w:rPr>
        <w:instrText xml:space="preserve"> HYPERLINK \l "_Toc101966203"</w:instrText>
      </w:r>
      <w:r>
        <w:rPr>
          <w:sz w:val="28"/>
          <w:szCs w:val="28"/>
        </w:rPr>
        <w:fldChar w:fldCharType="separate"/>
      </w:r>
      <w:r>
        <w:rPr>
          <w:rStyle w:val="22"/>
          <w:rFonts w:eastAsia="方正楷体_GBK"/>
          <w:color w:val="auto"/>
          <w:sz w:val="28"/>
          <w:szCs w:val="28"/>
        </w:rPr>
        <w:t>1.2编制依据</w:t>
      </w:r>
      <w:r>
        <w:rPr>
          <w:rFonts w:eastAsia="方正楷体_GBK"/>
          <w:sz w:val="28"/>
          <w:szCs w:val="28"/>
        </w:rPr>
        <w:tab/>
      </w:r>
      <w:r>
        <w:rPr>
          <w:rFonts w:hint="eastAsia" w:eastAsia="方正楷体_GBK"/>
          <w:sz w:val="28"/>
          <w:szCs w:val="28"/>
          <w:lang w:val="en-US" w:eastAsia="zh-CN"/>
        </w:rPr>
        <w:t>1</w:t>
      </w:r>
      <w:r>
        <w:rPr>
          <w:rFonts w:eastAsia="方正楷体_GBK"/>
          <w:sz w:val="28"/>
          <w:szCs w:val="28"/>
        </w:rPr>
        <w:fldChar w:fldCharType="end"/>
      </w:r>
    </w:p>
    <w:p>
      <w:pPr>
        <w:pStyle w:val="15"/>
        <w:tabs>
          <w:tab w:val="right" w:leader="dot" w:pos="8835"/>
          <w:tab w:val="clear" w:pos="9060"/>
        </w:tabs>
        <w:rPr>
          <w:rFonts w:eastAsia="方正楷体_GBK"/>
          <w:sz w:val="28"/>
          <w:szCs w:val="28"/>
        </w:rPr>
      </w:pPr>
      <w:r>
        <w:rPr>
          <w:sz w:val="28"/>
          <w:szCs w:val="28"/>
        </w:rPr>
        <w:fldChar w:fldCharType="begin"/>
      </w:r>
      <w:r>
        <w:rPr>
          <w:sz w:val="28"/>
          <w:szCs w:val="28"/>
        </w:rPr>
        <w:instrText xml:space="preserve"> HYPERLINK \l "_Toc101966204"</w:instrText>
      </w:r>
      <w:r>
        <w:rPr>
          <w:sz w:val="28"/>
          <w:szCs w:val="28"/>
        </w:rPr>
        <w:fldChar w:fldCharType="separate"/>
      </w:r>
      <w:r>
        <w:rPr>
          <w:rStyle w:val="22"/>
          <w:rFonts w:eastAsia="方正楷体_GBK"/>
          <w:color w:val="auto"/>
          <w:sz w:val="28"/>
          <w:szCs w:val="28"/>
        </w:rPr>
        <w:t>1.3适用范围</w:t>
      </w:r>
      <w:r>
        <w:rPr>
          <w:rFonts w:eastAsia="方正楷体_GBK"/>
          <w:sz w:val="28"/>
          <w:szCs w:val="28"/>
        </w:rPr>
        <w:tab/>
      </w:r>
      <w:r>
        <w:rPr>
          <w:rFonts w:hint="eastAsia" w:eastAsia="方正楷体_GBK"/>
          <w:sz w:val="28"/>
          <w:szCs w:val="28"/>
          <w:lang w:val="en-US" w:eastAsia="zh-CN"/>
        </w:rPr>
        <w:t>1</w:t>
      </w:r>
      <w:r>
        <w:rPr>
          <w:rFonts w:eastAsia="方正楷体_GBK"/>
          <w:sz w:val="28"/>
          <w:szCs w:val="28"/>
        </w:rPr>
        <w:fldChar w:fldCharType="end"/>
      </w:r>
    </w:p>
    <w:p>
      <w:pPr>
        <w:pStyle w:val="15"/>
        <w:tabs>
          <w:tab w:val="right" w:leader="dot" w:pos="8835"/>
          <w:tab w:val="clear" w:pos="9060"/>
        </w:tabs>
        <w:rPr>
          <w:rFonts w:eastAsia="方正楷体_GBK"/>
          <w:sz w:val="28"/>
          <w:szCs w:val="28"/>
        </w:rPr>
      </w:pPr>
      <w:r>
        <w:rPr>
          <w:sz w:val="28"/>
          <w:szCs w:val="28"/>
        </w:rPr>
        <w:fldChar w:fldCharType="begin"/>
      </w:r>
      <w:r>
        <w:rPr>
          <w:sz w:val="28"/>
          <w:szCs w:val="28"/>
        </w:rPr>
        <w:instrText xml:space="preserve"> HYPERLINK \l "_Toc101966205"</w:instrText>
      </w:r>
      <w:r>
        <w:rPr>
          <w:sz w:val="28"/>
          <w:szCs w:val="28"/>
        </w:rPr>
        <w:fldChar w:fldCharType="separate"/>
      </w:r>
      <w:r>
        <w:rPr>
          <w:rStyle w:val="22"/>
          <w:rFonts w:eastAsia="方正楷体_GBK"/>
          <w:color w:val="auto"/>
          <w:sz w:val="28"/>
          <w:szCs w:val="28"/>
        </w:rPr>
        <w:t>1.4工作原则</w:t>
      </w:r>
      <w:r>
        <w:rPr>
          <w:rFonts w:eastAsia="方正楷体_GBK"/>
          <w:sz w:val="28"/>
          <w:szCs w:val="28"/>
        </w:rPr>
        <w:tab/>
      </w:r>
      <w:r>
        <w:rPr>
          <w:rFonts w:hint="eastAsia" w:eastAsia="方正楷体_GBK"/>
          <w:sz w:val="28"/>
          <w:szCs w:val="28"/>
          <w:lang w:val="en-US" w:eastAsia="zh-CN"/>
        </w:rPr>
        <w:t>2</w:t>
      </w:r>
      <w:r>
        <w:rPr>
          <w:rFonts w:eastAsia="方正楷体_GBK"/>
          <w:sz w:val="28"/>
          <w:szCs w:val="28"/>
        </w:rPr>
        <w:fldChar w:fldCharType="end"/>
      </w:r>
    </w:p>
    <w:p>
      <w:pPr>
        <w:pStyle w:val="15"/>
        <w:tabs>
          <w:tab w:val="right" w:leader="dot" w:pos="8835"/>
          <w:tab w:val="clear" w:pos="9060"/>
        </w:tabs>
        <w:rPr>
          <w:rFonts w:eastAsia="方正楷体_GBK"/>
          <w:sz w:val="28"/>
          <w:szCs w:val="28"/>
        </w:rPr>
      </w:pPr>
      <w:r>
        <w:rPr>
          <w:sz w:val="28"/>
          <w:szCs w:val="28"/>
        </w:rPr>
        <w:fldChar w:fldCharType="begin"/>
      </w:r>
      <w:r>
        <w:rPr>
          <w:sz w:val="28"/>
          <w:szCs w:val="28"/>
        </w:rPr>
        <w:instrText xml:space="preserve"> HYPERLINK \l "_Toc101966206"</w:instrText>
      </w:r>
      <w:r>
        <w:rPr>
          <w:sz w:val="28"/>
          <w:szCs w:val="28"/>
        </w:rPr>
        <w:fldChar w:fldCharType="separate"/>
      </w:r>
      <w:r>
        <w:rPr>
          <w:rStyle w:val="22"/>
          <w:rFonts w:eastAsia="方正楷体_GBK"/>
          <w:color w:val="auto"/>
          <w:sz w:val="28"/>
          <w:szCs w:val="28"/>
        </w:rPr>
        <w:t>1.5预案体系</w:t>
      </w:r>
      <w:r>
        <w:rPr>
          <w:rFonts w:eastAsia="方正楷体_GBK"/>
          <w:sz w:val="28"/>
          <w:szCs w:val="28"/>
        </w:rPr>
        <w:tab/>
      </w:r>
      <w:r>
        <w:rPr>
          <w:rFonts w:hint="eastAsia" w:eastAsia="方正楷体_GBK"/>
          <w:sz w:val="28"/>
          <w:szCs w:val="28"/>
          <w:lang w:val="en-US" w:eastAsia="zh-CN"/>
        </w:rPr>
        <w:t>3</w:t>
      </w:r>
      <w:r>
        <w:rPr>
          <w:rFonts w:eastAsia="方正楷体_GBK"/>
          <w:sz w:val="28"/>
          <w:szCs w:val="28"/>
        </w:rPr>
        <w:fldChar w:fldCharType="end"/>
      </w:r>
    </w:p>
    <w:p>
      <w:pPr>
        <w:pStyle w:val="14"/>
        <w:tabs>
          <w:tab w:val="right" w:leader="dot" w:pos="8835"/>
          <w:tab w:val="clear" w:pos="9060"/>
        </w:tabs>
        <w:ind w:firstLine="640"/>
        <w:rPr>
          <w:rFonts w:eastAsia="方正楷体_GBK"/>
          <w:sz w:val="28"/>
          <w:szCs w:val="28"/>
        </w:rPr>
      </w:pPr>
      <w:r>
        <w:rPr>
          <w:sz w:val="28"/>
          <w:szCs w:val="28"/>
        </w:rPr>
        <w:fldChar w:fldCharType="begin"/>
      </w:r>
      <w:r>
        <w:rPr>
          <w:sz w:val="28"/>
          <w:szCs w:val="28"/>
        </w:rPr>
        <w:instrText xml:space="preserve"> HYPERLINK \l "_Toc101966207"</w:instrText>
      </w:r>
      <w:r>
        <w:rPr>
          <w:sz w:val="28"/>
          <w:szCs w:val="28"/>
        </w:rPr>
        <w:fldChar w:fldCharType="separate"/>
      </w:r>
      <w:r>
        <w:rPr>
          <w:rStyle w:val="22"/>
          <w:rFonts w:hint="eastAsia" w:ascii="方正黑体_GBK" w:eastAsia="方正黑体_GBK"/>
          <w:color w:val="auto"/>
          <w:sz w:val="28"/>
          <w:szCs w:val="28"/>
        </w:rPr>
        <w:t>2 组织指挥机构</w:t>
      </w:r>
      <w:r>
        <w:rPr>
          <w:rFonts w:eastAsia="方正楷体_GBK"/>
          <w:sz w:val="28"/>
          <w:szCs w:val="28"/>
        </w:rPr>
        <w:tab/>
      </w:r>
      <w:r>
        <w:rPr>
          <w:rFonts w:hint="eastAsia" w:eastAsia="方正楷体_GBK"/>
          <w:sz w:val="28"/>
          <w:szCs w:val="28"/>
          <w:lang w:val="en-US" w:eastAsia="zh-CN"/>
        </w:rPr>
        <w:t>3</w:t>
      </w:r>
      <w:r>
        <w:rPr>
          <w:rFonts w:eastAsia="方正楷体_GBK"/>
          <w:sz w:val="28"/>
          <w:szCs w:val="28"/>
        </w:rPr>
        <w:fldChar w:fldCharType="end"/>
      </w:r>
    </w:p>
    <w:p>
      <w:pPr>
        <w:pStyle w:val="15"/>
        <w:tabs>
          <w:tab w:val="right" w:leader="dot" w:pos="8835"/>
          <w:tab w:val="clear" w:pos="9060"/>
        </w:tabs>
        <w:rPr>
          <w:rFonts w:eastAsia="方正楷体_GBK"/>
          <w:sz w:val="28"/>
          <w:szCs w:val="28"/>
        </w:rPr>
      </w:pPr>
      <w:r>
        <w:rPr>
          <w:sz w:val="28"/>
          <w:szCs w:val="28"/>
        </w:rPr>
        <w:fldChar w:fldCharType="begin"/>
      </w:r>
      <w:r>
        <w:rPr>
          <w:sz w:val="28"/>
          <w:szCs w:val="28"/>
        </w:rPr>
        <w:instrText xml:space="preserve"> HYPERLINK \l "_Toc101966208"</w:instrText>
      </w:r>
      <w:r>
        <w:rPr>
          <w:sz w:val="28"/>
          <w:szCs w:val="28"/>
        </w:rPr>
        <w:fldChar w:fldCharType="separate"/>
      </w:r>
      <w:r>
        <w:rPr>
          <w:rStyle w:val="22"/>
          <w:rFonts w:eastAsia="方正楷体_GBK"/>
          <w:color w:val="auto"/>
          <w:sz w:val="28"/>
          <w:szCs w:val="28"/>
        </w:rPr>
        <w:t>2.1组织指挥机构</w:t>
      </w:r>
      <w:r>
        <w:rPr>
          <w:rFonts w:eastAsia="方正楷体_GBK"/>
          <w:sz w:val="28"/>
          <w:szCs w:val="28"/>
        </w:rPr>
        <w:tab/>
      </w:r>
      <w:r>
        <w:rPr>
          <w:rFonts w:hint="eastAsia" w:eastAsia="方正楷体_GBK"/>
          <w:sz w:val="28"/>
          <w:szCs w:val="28"/>
        </w:rPr>
        <w:t>3</w:t>
      </w:r>
      <w:r>
        <w:rPr>
          <w:rFonts w:eastAsia="方正楷体_GBK"/>
          <w:sz w:val="28"/>
          <w:szCs w:val="28"/>
        </w:rPr>
        <w:fldChar w:fldCharType="end"/>
      </w:r>
    </w:p>
    <w:p>
      <w:pPr>
        <w:pStyle w:val="14"/>
        <w:tabs>
          <w:tab w:val="right" w:leader="dot" w:pos="8835"/>
          <w:tab w:val="clear" w:pos="9060"/>
        </w:tabs>
        <w:ind w:firstLine="640"/>
        <w:rPr>
          <w:rFonts w:eastAsia="方正楷体_GBK"/>
          <w:sz w:val="28"/>
          <w:szCs w:val="28"/>
        </w:rPr>
      </w:pPr>
      <w:r>
        <w:rPr>
          <w:sz w:val="28"/>
          <w:szCs w:val="28"/>
        </w:rPr>
        <w:fldChar w:fldCharType="begin"/>
      </w:r>
      <w:r>
        <w:rPr>
          <w:sz w:val="28"/>
          <w:szCs w:val="28"/>
        </w:rPr>
        <w:instrText xml:space="preserve"> HYPERLINK \l "_Toc101966210"</w:instrText>
      </w:r>
      <w:r>
        <w:rPr>
          <w:sz w:val="28"/>
          <w:szCs w:val="28"/>
        </w:rPr>
        <w:fldChar w:fldCharType="separate"/>
      </w:r>
      <w:r>
        <w:rPr>
          <w:rStyle w:val="22"/>
          <w:rFonts w:hint="eastAsia" w:ascii="方正黑体_GBK" w:eastAsia="方正黑体_GBK"/>
          <w:color w:val="auto"/>
          <w:sz w:val="28"/>
          <w:szCs w:val="28"/>
        </w:rPr>
        <w:t>3 监测与预警</w:t>
      </w:r>
      <w:r>
        <w:rPr>
          <w:rFonts w:eastAsia="方正楷体_GBK"/>
          <w:sz w:val="28"/>
          <w:szCs w:val="28"/>
        </w:rPr>
        <w:tab/>
      </w:r>
      <w:r>
        <w:rPr>
          <w:rFonts w:hint="eastAsia" w:eastAsia="方正楷体_GBK"/>
          <w:sz w:val="28"/>
          <w:szCs w:val="28"/>
          <w:lang w:val="en-US" w:eastAsia="zh-CN"/>
        </w:rPr>
        <w:t>4</w:t>
      </w:r>
      <w:r>
        <w:rPr>
          <w:rFonts w:eastAsia="方正楷体_GBK"/>
          <w:sz w:val="28"/>
          <w:szCs w:val="28"/>
        </w:rPr>
        <w:fldChar w:fldCharType="end"/>
      </w:r>
    </w:p>
    <w:p>
      <w:pPr>
        <w:pStyle w:val="15"/>
        <w:tabs>
          <w:tab w:val="right" w:leader="dot" w:pos="8835"/>
          <w:tab w:val="clear" w:pos="9060"/>
        </w:tabs>
        <w:rPr>
          <w:rFonts w:eastAsia="方正楷体_GBK"/>
          <w:sz w:val="28"/>
          <w:szCs w:val="28"/>
        </w:rPr>
      </w:pPr>
      <w:r>
        <w:rPr>
          <w:sz w:val="28"/>
          <w:szCs w:val="28"/>
        </w:rPr>
        <w:fldChar w:fldCharType="begin"/>
      </w:r>
      <w:r>
        <w:rPr>
          <w:sz w:val="28"/>
          <w:szCs w:val="28"/>
        </w:rPr>
        <w:instrText xml:space="preserve"> HYPERLINK \l "_Toc101966211"</w:instrText>
      </w:r>
      <w:r>
        <w:rPr>
          <w:sz w:val="28"/>
          <w:szCs w:val="28"/>
        </w:rPr>
        <w:fldChar w:fldCharType="separate"/>
      </w:r>
      <w:r>
        <w:rPr>
          <w:rStyle w:val="22"/>
          <w:rFonts w:eastAsia="方正楷体_GBK"/>
          <w:color w:val="auto"/>
          <w:sz w:val="28"/>
          <w:szCs w:val="28"/>
        </w:rPr>
        <w:t>3.1监测</w:t>
      </w:r>
      <w:r>
        <w:rPr>
          <w:rFonts w:eastAsia="方正楷体_GBK"/>
          <w:sz w:val="28"/>
          <w:szCs w:val="28"/>
        </w:rPr>
        <w:tab/>
      </w:r>
      <w:r>
        <w:rPr>
          <w:rFonts w:hint="eastAsia" w:eastAsia="方正楷体_GBK"/>
          <w:sz w:val="28"/>
          <w:szCs w:val="28"/>
          <w:lang w:val="en-US" w:eastAsia="zh-CN"/>
        </w:rPr>
        <w:t>4</w:t>
      </w:r>
      <w:r>
        <w:rPr>
          <w:rFonts w:eastAsia="方正楷体_GBK"/>
          <w:sz w:val="28"/>
          <w:szCs w:val="28"/>
        </w:rPr>
        <w:fldChar w:fldCharType="end"/>
      </w:r>
    </w:p>
    <w:p>
      <w:pPr>
        <w:pStyle w:val="15"/>
        <w:tabs>
          <w:tab w:val="right" w:leader="dot" w:pos="8835"/>
          <w:tab w:val="clear" w:pos="9060"/>
        </w:tabs>
        <w:rPr>
          <w:rFonts w:eastAsia="方正楷体_GBK"/>
          <w:sz w:val="28"/>
          <w:szCs w:val="28"/>
        </w:rPr>
      </w:pPr>
      <w:r>
        <w:rPr>
          <w:sz w:val="28"/>
          <w:szCs w:val="28"/>
        </w:rPr>
        <w:fldChar w:fldCharType="begin"/>
      </w:r>
      <w:r>
        <w:rPr>
          <w:sz w:val="28"/>
          <w:szCs w:val="28"/>
        </w:rPr>
        <w:instrText xml:space="preserve"> HYPERLINK \l "_Toc101966212"</w:instrText>
      </w:r>
      <w:r>
        <w:rPr>
          <w:sz w:val="28"/>
          <w:szCs w:val="28"/>
        </w:rPr>
        <w:fldChar w:fldCharType="separate"/>
      </w:r>
      <w:r>
        <w:rPr>
          <w:rStyle w:val="22"/>
          <w:rFonts w:eastAsia="方正楷体_GBK"/>
          <w:color w:val="auto"/>
          <w:sz w:val="28"/>
          <w:szCs w:val="28"/>
        </w:rPr>
        <w:t>3.2预警</w:t>
      </w:r>
      <w:r>
        <w:rPr>
          <w:rFonts w:eastAsia="方正楷体_GBK"/>
          <w:sz w:val="28"/>
          <w:szCs w:val="28"/>
        </w:rPr>
        <w:tab/>
      </w:r>
      <w:r>
        <w:rPr>
          <w:rFonts w:hint="eastAsia" w:eastAsia="方正楷体_GBK"/>
          <w:sz w:val="28"/>
          <w:szCs w:val="28"/>
          <w:lang w:val="en-US" w:eastAsia="zh-CN"/>
        </w:rPr>
        <w:t>5</w:t>
      </w:r>
      <w:r>
        <w:rPr>
          <w:rFonts w:eastAsia="方正楷体_GBK"/>
          <w:sz w:val="28"/>
          <w:szCs w:val="28"/>
        </w:rPr>
        <w:fldChar w:fldCharType="end"/>
      </w:r>
    </w:p>
    <w:p>
      <w:pPr>
        <w:pStyle w:val="14"/>
        <w:tabs>
          <w:tab w:val="right" w:leader="dot" w:pos="8835"/>
          <w:tab w:val="clear" w:pos="9060"/>
        </w:tabs>
        <w:ind w:firstLine="640"/>
        <w:rPr>
          <w:rFonts w:eastAsia="方正楷体_GBK"/>
          <w:sz w:val="28"/>
          <w:szCs w:val="28"/>
        </w:rPr>
      </w:pPr>
      <w:r>
        <w:rPr>
          <w:sz w:val="28"/>
          <w:szCs w:val="28"/>
        </w:rPr>
        <w:fldChar w:fldCharType="begin"/>
      </w:r>
      <w:r>
        <w:rPr>
          <w:sz w:val="28"/>
          <w:szCs w:val="28"/>
        </w:rPr>
        <w:instrText xml:space="preserve"> HYPERLINK \l "_Toc101966213"</w:instrText>
      </w:r>
      <w:r>
        <w:rPr>
          <w:sz w:val="28"/>
          <w:szCs w:val="28"/>
        </w:rPr>
        <w:fldChar w:fldCharType="separate"/>
      </w:r>
      <w:r>
        <w:rPr>
          <w:rStyle w:val="22"/>
          <w:rFonts w:hint="eastAsia" w:ascii="方正黑体_GBK" w:eastAsia="方正黑体_GBK"/>
          <w:color w:val="auto"/>
          <w:sz w:val="28"/>
          <w:szCs w:val="28"/>
        </w:rPr>
        <w:t>4 应急响应</w:t>
      </w:r>
      <w:r>
        <w:rPr>
          <w:rFonts w:eastAsia="方正楷体_GBK"/>
          <w:sz w:val="28"/>
          <w:szCs w:val="28"/>
        </w:rPr>
        <w:tab/>
      </w:r>
      <w:r>
        <w:rPr>
          <w:rFonts w:hint="eastAsia" w:eastAsia="方正楷体_GBK"/>
          <w:sz w:val="28"/>
          <w:szCs w:val="28"/>
          <w:lang w:val="en-US" w:eastAsia="zh-CN"/>
        </w:rPr>
        <w:t>8</w:t>
      </w:r>
      <w:r>
        <w:rPr>
          <w:rFonts w:eastAsia="方正楷体_GBK"/>
          <w:sz w:val="28"/>
          <w:szCs w:val="28"/>
        </w:rPr>
        <w:fldChar w:fldCharType="end"/>
      </w:r>
    </w:p>
    <w:p>
      <w:pPr>
        <w:pStyle w:val="15"/>
        <w:tabs>
          <w:tab w:val="right" w:leader="dot" w:pos="8835"/>
          <w:tab w:val="clear" w:pos="9060"/>
        </w:tabs>
        <w:rPr>
          <w:rFonts w:eastAsia="方正楷体_GBK"/>
          <w:sz w:val="28"/>
          <w:szCs w:val="28"/>
        </w:rPr>
      </w:pPr>
      <w:r>
        <w:rPr>
          <w:sz w:val="28"/>
          <w:szCs w:val="28"/>
        </w:rPr>
        <w:fldChar w:fldCharType="begin"/>
      </w:r>
      <w:r>
        <w:rPr>
          <w:sz w:val="28"/>
          <w:szCs w:val="28"/>
        </w:rPr>
        <w:instrText xml:space="preserve"> HYPERLINK \l "_Toc101966214"</w:instrText>
      </w:r>
      <w:r>
        <w:rPr>
          <w:sz w:val="28"/>
          <w:szCs w:val="28"/>
        </w:rPr>
        <w:fldChar w:fldCharType="separate"/>
      </w:r>
      <w:r>
        <w:rPr>
          <w:rStyle w:val="22"/>
          <w:rFonts w:eastAsia="方正楷体_GBK"/>
          <w:color w:val="auto"/>
          <w:sz w:val="28"/>
          <w:szCs w:val="28"/>
        </w:rPr>
        <w:t>4.1 响应分级</w:t>
      </w:r>
      <w:r>
        <w:rPr>
          <w:rFonts w:eastAsia="方正楷体_GBK"/>
          <w:sz w:val="28"/>
          <w:szCs w:val="28"/>
        </w:rPr>
        <w:tab/>
      </w:r>
      <w:r>
        <w:rPr>
          <w:rFonts w:hint="eastAsia" w:eastAsia="方正楷体_GBK"/>
          <w:sz w:val="28"/>
          <w:szCs w:val="28"/>
          <w:lang w:val="en-US" w:eastAsia="zh-CN"/>
        </w:rPr>
        <w:t>8</w:t>
      </w:r>
      <w:r>
        <w:rPr>
          <w:rFonts w:eastAsia="方正楷体_GBK"/>
          <w:sz w:val="28"/>
          <w:szCs w:val="28"/>
        </w:rPr>
        <w:fldChar w:fldCharType="end"/>
      </w:r>
    </w:p>
    <w:p>
      <w:pPr>
        <w:pStyle w:val="15"/>
        <w:tabs>
          <w:tab w:val="right" w:leader="dot" w:pos="8835"/>
          <w:tab w:val="clear" w:pos="9060"/>
        </w:tabs>
        <w:rPr>
          <w:rFonts w:eastAsia="方正楷体_GBK"/>
          <w:sz w:val="28"/>
          <w:szCs w:val="28"/>
        </w:rPr>
      </w:pPr>
      <w:r>
        <w:rPr>
          <w:sz w:val="28"/>
          <w:szCs w:val="28"/>
        </w:rPr>
        <w:fldChar w:fldCharType="begin"/>
      </w:r>
      <w:r>
        <w:rPr>
          <w:sz w:val="28"/>
          <w:szCs w:val="28"/>
        </w:rPr>
        <w:instrText xml:space="preserve"> HYPERLINK \l "_Toc101966215"</w:instrText>
      </w:r>
      <w:r>
        <w:rPr>
          <w:sz w:val="28"/>
          <w:szCs w:val="28"/>
        </w:rPr>
        <w:fldChar w:fldCharType="separate"/>
      </w:r>
      <w:r>
        <w:rPr>
          <w:rStyle w:val="22"/>
          <w:rFonts w:eastAsia="方正楷体_GBK"/>
          <w:color w:val="auto"/>
          <w:sz w:val="28"/>
          <w:szCs w:val="28"/>
        </w:rPr>
        <w:t>4.2 响应措施</w:t>
      </w:r>
      <w:r>
        <w:rPr>
          <w:rFonts w:eastAsia="方正楷体_GBK"/>
          <w:sz w:val="28"/>
          <w:szCs w:val="28"/>
        </w:rPr>
        <w:tab/>
      </w:r>
      <w:r>
        <w:rPr>
          <w:rFonts w:hint="eastAsia" w:eastAsia="方正楷体_GBK"/>
          <w:sz w:val="28"/>
          <w:szCs w:val="28"/>
          <w:lang w:val="en-US" w:eastAsia="zh-CN"/>
        </w:rPr>
        <w:t>8</w:t>
      </w:r>
      <w:r>
        <w:rPr>
          <w:rFonts w:eastAsia="方正楷体_GBK"/>
          <w:sz w:val="28"/>
          <w:szCs w:val="28"/>
        </w:rPr>
        <w:fldChar w:fldCharType="end"/>
      </w:r>
    </w:p>
    <w:p>
      <w:pPr>
        <w:pStyle w:val="14"/>
        <w:tabs>
          <w:tab w:val="right" w:leader="dot" w:pos="8835"/>
          <w:tab w:val="clear" w:pos="9060"/>
        </w:tabs>
        <w:ind w:firstLine="640"/>
        <w:rPr>
          <w:rFonts w:hint="eastAsia" w:eastAsia="方正楷体_GBK"/>
          <w:sz w:val="28"/>
          <w:szCs w:val="28"/>
          <w:lang w:val="en-US" w:eastAsia="zh-CN"/>
        </w:rPr>
      </w:pPr>
      <w:r>
        <w:rPr>
          <w:sz w:val="28"/>
          <w:szCs w:val="28"/>
        </w:rPr>
        <w:fldChar w:fldCharType="begin"/>
      </w:r>
      <w:r>
        <w:rPr>
          <w:sz w:val="28"/>
          <w:szCs w:val="28"/>
        </w:rPr>
        <w:instrText xml:space="preserve"> HYPERLINK \l "_Toc101966217"</w:instrText>
      </w:r>
      <w:r>
        <w:rPr>
          <w:sz w:val="28"/>
          <w:szCs w:val="28"/>
        </w:rPr>
        <w:fldChar w:fldCharType="separate"/>
      </w:r>
      <w:r>
        <w:rPr>
          <w:rStyle w:val="22"/>
          <w:rFonts w:hint="eastAsia" w:ascii="方正黑体_GBK" w:eastAsia="方正黑体_GBK"/>
          <w:color w:val="auto"/>
          <w:sz w:val="28"/>
          <w:szCs w:val="28"/>
        </w:rPr>
        <w:t>5 信息公开</w:t>
      </w:r>
      <w:r>
        <w:rPr>
          <w:rFonts w:eastAsia="方正楷体_GBK"/>
          <w:sz w:val="28"/>
          <w:szCs w:val="28"/>
        </w:rPr>
        <w:tab/>
      </w:r>
      <w:r>
        <w:rPr>
          <w:rFonts w:hint="eastAsia" w:eastAsia="方正楷体_GBK"/>
          <w:sz w:val="28"/>
          <w:szCs w:val="28"/>
          <w:lang w:val="en-US" w:eastAsia="zh-CN"/>
        </w:rPr>
        <w:t>1</w:t>
      </w:r>
      <w:r>
        <w:rPr>
          <w:rFonts w:eastAsia="方正楷体_GBK"/>
          <w:sz w:val="28"/>
          <w:szCs w:val="28"/>
        </w:rPr>
        <w:fldChar w:fldCharType="end"/>
      </w:r>
      <w:r>
        <w:rPr>
          <w:rFonts w:hint="eastAsia" w:eastAsia="方正楷体_GBK"/>
          <w:sz w:val="28"/>
          <w:szCs w:val="28"/>
          <w:lang w:val="en-US" w:eastAsia="zh-CN"/>
        </w:rPr>
        <w:t>6</w:t>
      </w:r>
    </w:p>
    <w:p>
      <w:pPr>
        <w:pStyle w:val="15"/>
        <w:tabs>
          <w:tab w:val="right" w:leader="dot" w:pos="8835"/>
          <w:tab w:val="clear" w:pos="9060"/>
        </w:tabs>
        <w:rPr>
          <w:rFonts w:hint="eastAsia" w:eastAsia="方正楷体_GBK"/>
          <w:sz w:val="28"/>
          <w:szCs w:val="28"/>
          <w:lang w:val="en-US" w:eastAsia="zh-CN"/>
        </w:rPr>
      </w:pPr>
      <w:r>
        <w:rPr>
          <w:sz w:val="28"/>
          <w:szCs w:val="28"/>
        </w:rPr>
        <w:fldChar w:fldCharType="begin"/>
      </w:r>
      <w:r>
        <w:rPr>
          <w:sz w:val="28"/>
          <w:szCs w:val="28"/>
        </w:rPr>
        <w:instrText xml:space="preserve"> HYPERLINK \l "_Toc101966218"</w:instrText>
      </w:r>
      <w:r>
        <w:rPr>
          <w:sz w:val="28"/>
          <w:szCs w:val="28"/>
        </w:rPr>
        <w:fldChar w:fldCharType="separate"/>
      </w:r>
      <w:r>
        <w:rPr>
          <w:rStyle w:val="22"/>
          <w:rFonts w:eastAsia="方正楷体_GBK"/>
          <w:color w:val="auto"/>
          <w:sz w:val="28"/>
          <w:szCs w:val="28"/>
        </w:rPr>
        <w:t>5.1 应急响应报告和通报</w:t>
      </w:r>
      <w:r>
        <w:rPr>
          <w:rFonts w:eastAsia="方正楷体_GBK"/>
          <w:sz w:val="28"/>
          <w:szCs w:val="28"/>
        </w:rPr>
        <w:tab/>
      </w:r>
      <w:r>
        <w:rPr>
          <w:rFonts w:hint="eastAsia" w:eastAsia="方正楷体_GBK"/>
          <w:sz w:val="28"/>
          <w:szCs w:val="28"/>
          <w:lang w:val="en-US" w:eastAsia="zh-CN"/>
        </w:rPr>
        <w:t>1</w:t>
      </w:r>
      <w:r>
        <w:rPr>
          <w:rFonts w:eastAsia="方正楷体_GBK"/>
          <w:sz w:val="28"/>
          <w:szCs w:val="28"/>
        </w:rPr>
        <w:fldChar w:fldCharType="end"/>
      </w:r>
      <w:r>
        <w:rPr>
          <w:rFonts w:hint="eastAsia" w:eastAsia="方正楷体_GBK"/>
          <w:sz w:val="28"/>
          <w:szCs w:val="28"/>
          <w:lang w:val="en-US" w:eastAsia="zh-CN"/>
        </w:rPr>
        <w:t>6</w:t>
      </w:r>
    </w:p>
    <w:p>
      <w:pPr>
        <w:pStyle w:val="15"/>
        <w:tabs>
          <w:tab w:val="right" w:leader="dot" w:pos="8835"/>
          <w:tab w:val="clear" w:pos="9060"/>
        </w:tabs>
        <w:rPr>
          <w:rFonts w:eastAsia="方正楷体_GBK"/>
          <w:sz w:val="28"/>
          <w:szCs w:val="28"/>
        </w:rPr>
      </w:pPr>
      <w:r>
        <w:rPr>
          <w:sz w:val="28"/>
          <w:szCs w:val="28"/>
        </w:rPr>
        <w:fldChar w:fldCharType="begin"/>
      </w:r>
      <w:r>
        <w:rPr>
          <w:sz w:val="28"/>
          <w:szCs w:val="28"/>
        </w:rPr>
        <w:instrText xml:space="preserve"> HYPERLINK \l "_Toc101966219"</w:instrText>
      </w:r>
      <w:r>
        <w:rPr>
          <w:sz w:val="28"/>
          <w:szCs w:val="28"/>
        </w:rPr>
        <w:fldChar w:fldCharType="separate"/>
      </w:r>
      <w:r>
        <w:rPr>
          <w:rStyle w:val="22"/>
          <w:rFonts w:eastAsia="方正楷体_GBK"/>
          <w:color w:val="auto"/>
          <w:sz w:val="28"/>
          <w:szCs w:val="28"/>
        </w:rPr>
        <w:t>5.2 新闻发布</w:t>
      </w:r>
      <w:r>
        <w:rPr>
          <w:rFonts w:eastAsia="方正楷体_GBK"/>
          <w:sz w:val="28"/>
          <w:szCs w:val="28"/>
        </w:rPr>
        <w:tab/>
      </w:r>
      <w:r>
        <w:rPr>
          <w:rFonts w:hint="eastAsia" w:eastAsia="方正楷体_GBK"/>
          <w:sz w:val="28"/>
          <w:szCs w:val="28"/>
          <w:lang w:val="en-US" w:eastAsia="zh-CN"/>
        </w:rPr>
        <w:t>17</w:t>
      </w:r>
      <w:r>
        <w:rPr>
          <w:rFonts w:eastAsia="方正楷体_GBK"/>
          <w:sz w:val="28"/>
          <w:szCs w:val="28"/>
        </w:rPr>
        <w:fldChar w:fldCharType="end"/>
      </w:r>
    </w:p>
    <w:p>
      <w:pPr>
        <w:pStyle w:val="14"/>
        <w:tabs>
          <w:tab w:val="right" w:leader="dot" w:pos="8835"/>
          <w:tab w:val="clear" w:pos="9060"/>
        </w:tabs>
        <w:ind w:firstLine="640"/>
        <w:rPr>
          <w:rFonts w:eastAsia="方正楷体_GBK"/>
          <w:sz w:val="28"/>
          <w:szCs w:val="28"/>
        </w:rPr>
      </w:pPr>
      <w:r>
        <w:rPr>
          <w:sz w:val="28"/>
          <w:szCs w:val="28"/>
        </w:rPr>
        <w:fldChar w:fldCharType="begin"/>
      </w:r>
      <w:r>
        <w:rPr>
          <w:sz w:val="28"/>
          <w:szCs w:val="28"/>
        </w:rPr>
        <w:instrText xml:space="preserve"> HYPERLINK \l "_Toc101966220"</w:instrText>
      </w:r>
      <w:r>
        <w:rPr>
          <w:sz w:val="28"/>
          <w:szCs w:val="28"/>
        </w:rPr>
        <w:fldChar w:fldCharType="separate"/>
      </w:r>
      <w:r>
        <w:rPr>
          <w:rStyle w:val="22"/>
          <w:rFonts w:hint="eastAsia" w:ascii="方正黑体_GBK" w:eastAsia="方正黑体_GBK"/>
          <w:color w:val="auto"/>
          <w:sz w:val="28"/>
          <w:szCs w:val="28"/>
        </w:rPr>
        <w:t>6 总结评估</w:t>
      </w:r>
      <w:r>
        <w:rPr>
          <w:rFonts w:eastAsia="方正楷体_GBK"/>
          <w:sz w:val="28"/>
          <w:szCs w:val="28"/>
        </w:rPr>
        <w:tab/>
      </w:r>
      <w:r>
        <w:rPr>
          <w:rFonts w:hint="eastAsia" w:eastAsia="方正楷体_GBK"/>
          <w:sz w:val="28"/>
          <w:szCs w:val="28"/>
          <w:lang w:val="en-US" w:eastAsia="zh-CN"/>
        </w:rPr>
        <w:t>17</w:t>
      </w:r>
      <w:r>
        <w:rPr>
          <w:rFonts w:eastAsia="方正楷体_GBK"/>
          <w:sz w:val="28"/>
          <w:szCs w:val="28"/>
        </w:rPr>
        <w:fldChar w:fldCharType="end"/>
      </w:r>
    </w:p>
    <w:p>
      <w:pPr>
        <w:pStyle w:val="14"/>
        <w:tabs>
          <w:tab w:val="right" w:leader="dot" w:pos="8835"/>
          <w:tab w:val="clear" w:pos="9060"/>
        </w:tabs>
        <w:ind w:firstLine="640"/>
        <w:rPr>
          <w:rFonts w:hint="eastAsia" w:eastAsia="方正楷体_GBK"/>
          <w:sz w:val="28"/>
          <w:szCs w:val="28"/>
          <w:lang w:val="en-US" w:eastAsia="zh-CN"/>
        </w:rPr>
      </w:pPr>
      <w:r>
        <w:rPr>
          <w:sz w:val="28"/>
          <w:szCs w:val="28"/>
        </w:rPr>
        <w:fldChar w:fldCharType="begin"/>
      </w:r>
      <w:r>
        <w:rPr>
          <w:sz w:val="28"/>
          <w:szCs w:val="28"/>
        </w:rPr>
        <w:instrText xml:space="preserve"> HYPERLINK \l "_Toc101966221"</w:instrText>
      </w:r>
      <w:r>
        <w:rPr>
          <w:sz w:val="28"/>
          <w:szCs w:val="28"/>
        </w:rPr>
        <w:fldChar w:fldCharType="separate"/>
      </w:r>
      <w:r>
        <w:rPr>
          <w:rStyle w:val="22"/>
          <w:rFonts w:hint="eastAsia" w:ascii="方正黑体_GBK" w:eastAsia="方正黑体_GBK"/>
          <w:color w:val="auto"/>
          <w:sz w:val="28"/>
          <w:szCs w:val="28"/>
        </w:rPr>
        <w:t>7 应急保障</w:t>
      </w:r>
      <w:r>
        <w:rPr>
          <w:rFonts w:eastAsia="方正楷体_GBK"/>
          <w:sz w:val="28"/>
          <w:szCs w:val="28"/>
        </w:rPr>
        <w:tab/>
      </w:r>
      <w:r>
        <w:rPr>
          <w:rFonts w:hint="eastAsia" w:eastAsia="方正楷体_GBK"/>
          <w:sz w:val="28"/>
          <w:szCs w:val="28"/>
          <w:lang w:val="en-US" w:eastAsia="zh-CN"/>
        </w:rPr>
        <w:t>1</w:t>
      </w:r>
      <w:r>
        <w:rPr>
          <w:rFonts w:eastAsia="方正楷体_GBK"/>
          <w:sz w:val="28"/>
          <w:szCs w:val="28"/>
        </w:rPr>
        <w:fldChar w:fldCharType="end"/>
      </w:r>
      <w:r>
        <w:rPr>
          <w:rFonts w:hint="eastAsia" w:eastAsia="方正楷体_GBK"/>
          <w:sz w:val="28"/>
          <w:szCs w:val="28"/>
          <w:lang w:val="en-US" w:eastAsia="zh-CN"/>
        </w:rPr>
        <w:t>7</w:t>
      </w:r>
    </w:p>
    <w:p>
      <w:pPr>
        <w:pStyle w:val="15"/>
        <w:tabs>
          <w:tab w:val="right" w:leader="dot" w:pos="8835"/>
          <w:tab w:val="clear" w:pos="9060"/>
        </w:tabs>
        <w:rPr>
          <w:rFonts w:hint="eastAsia" w:eastAsia="方正楷体_GBK"/>
          <w:sz w:val="28"/>
          <w:szCs w:val="28"/>
          <w:lang w:val="en-US" w:eastAsia="zh-CN"/>
        </w:rPr>
      </w:pPr>
      <w:r>
        <w:rPr>
          <w:sz w:val="28"/>
          <w:szCs w:val="28"/>
        </w:rPr>
        <w:fldChar w:fldCharType="begin"/>
      </w:r>
      <w:r>
        <w:rPr>
          <w:sz w:val="28"/>
          <w:szCs w:val="28"/>
        </w:rPr>
        <w:instrText xml:space="preserve"> HYPERLINK \l "_Toc101966222"</w:instrText>
      </w:r>
      <w:r>
        <w:rPr>
          <w:sz w:val="28"/>
          <w:szCs w:val="28"/>
        </w:rPr>
        <w:fldChar w:fldCharType="separate"/>
      </w:r>
      <w:r>
        <w:rPr>
          <w:rStyle w:val="22"/>
          <w:rFonts w:eastAsia="方正楷体_GBK"/>
          <w:color w:val="auto"/>
          <w:sz w:val="28"/>
          <w:szCs w:val="28"/>
        </w:rPr>
        <w:t>7.1队伍保障</w:t>
      </w:r>
      <w:r>
        <w:rPr>
          <w:rFonts w:eastAsia="方正楷体_GBK"/>
          <w:sz w:val="28"/>
          <w:szCs w:val="28"/>
        </w:rPr>
        <w:tab/>
      </w:r>
      <w:r>
        <w:rPr>
          <w:rFonts w:hint="eastAsia" w:eastAsia="方正楷体_GBK"/>
          <w:sz w:val="28"/>
          <w:szCs w:val="28"/>
          <w:lang w:val="en-US" w:eastAsia="zh-CN"/>
        </w:rPr>
        <w:t>1</w:t>
      </w:r>
      <w:r>
        <w:rPr>
          <w:rFonts w:eastAsia="方正楷体_GBK"/>
          <w:sz w:val="28"/>
          <w:szCs w:val="28"/>
        </w:rPr>
        <w:fldChar w:fldCharType="end"/>
      </w:r>
      <w:r>
        <w:rPr>
          <w:rFonts w:hint="eastAsia" w:eastAsia="方正楷体_GBK"/>
          <w:sz w:val="28"/>
          <w:szCs w:val="28"/>
          <w:lang w:val="en-US" w:eastAsia="zh-CN"/>
        </w:rPr>
        <w:t>7</w:t>
      </w:r>
    </w:p>
    <w:p>
      <w:pPr>
        <w:pStyle w:val="15"/>
        <w:tabs>
          <w:tab w:val="right" w:leader="dot" w:pos="8835"/>
          <w:tab w:val="clear" w:pos="9060"/>
        </w:tabs>
        <w:rPr>
          <w:rFonts w:eastAsia="方正楷体_GBK"/>
          <w:sz w:val="28"/>
          <w:szCs w:val="28"/>
        </w:rPr>
      </w:pPr>
      <w:r>
        <w:rPr>
          <w:sz w:val="28"/>
          <w:szCs w:val="28"/>
        </w:rPr>
        <w:fldChar w:fldCharType="begin"/>
      </w:r>
      <w:r>
        <w:rPr>
          <w:sz w:val="28"/>
          <w:szCs w:val="28"/>
        </w:rPr>
        <w:instrText xml:space="preserve"> HYPERLINK \l "_Toc101966223"</w:instrText>
      </w:r>
      <w:r>
        <w:rPr>
          <w:sz w:val="28"/>
          <w:szCs w:val="28"/>
        </w:rPr>
        <w:fldChar w:fldCharType="separate"/>
      </w:r>
      <w:r>
        <w:rPr>
          <w:rStyle w:val="22"/>
          <w:rFonts w:eastAsia="方正楷体_GBK"/>
          <w:color w:val="auto"/>
          <w:sz w:val="28"/>
          <w:szCs w:val="28"/>
        </w:rPr>
        <w:t>7.2物资保障</w:t>
      </w:r>
      <w:r>
        <w:rPr>
          <w:rFonts w:eastAsia="方正楷体_GBK"/>
          <w:sz w:val="28"/>
          <w:szCs w:val="28"/>
        </w:rPr>
        <w:tab/>
      </w:r>
      <w:r>
        <w:rPr>
          <w:rFonts w:hint="eastAsia" w:eastAsia="方正楷体_GBK"/>
          <w:sz w:val="28"/>
          <w:szCs w:val="28"/>
          <w:lang w:val="en-US" w:eastAsia="zh-CN"/>
        </w:rPr>
        <w:t>18</w:t>
      </w:r>
      <w:r>
        <w:rPr>
          <w:rFonts w:eastAsia="方正楷体_GBK"/>
          <w:sz w:val="28"/>
          <w:szCs w:val="28"/>
        </w:rPr>
        <w:fldChar w:fldCharType="end"/>
      </w:r>
    </w:p>
    <w:p>
      <w:pPr>
        <w:pStyle w:val="15"/>
        <w:tabs>
          <w:tab w:val="right" w:leader="dot" w:pos="8835"/>
          <w:tab w:val="clear" w:pos="9060"/>
        </w:tabs>
        <w:rPr>
          <w:rFonts w:hint="eastAsia" w:eastAsia="方正楷体_GBK"/>
          <w:sz w:val="28"/>
          <w:szCs w:val="28"/>
          <w:lang w:val="en-US" w:eastAsia="zh-CN"/>
        </w:rPr>
      </w:pPr>
      <w:r>
        <w:rPr>
          <w:sz w:val="28"/>
          <w:szCs w:val="28"/>
        </w:rPr>
        <w:fldChar w:fldCharType="begin"/>
      </w:r>
      <w:r>
        <w:rPr>
          <w:sz w:val="28"/>
          <w:szCs w:val="28"/>
        </w:rPr>
        <w:instrText xml:space="preserve"> HYPERLINK \l "_Toc101966224"</w:instrText>
      </w:r>
      <w:r>
        <w:rPr>
          <w:sz w:val="28"/>
          <w:szCs w:val="28"/>
        </w:rPr>
        <w:fldChar w:fldCharType="separate"/>
      </w:r>
      <w:r>
        <w:rPr>
          <w:rStyle w:val="22"/>
          <w:rFonts w:eastAsia="方正楷体_GBK"/>
          <w:color w:val="auto"/>
          <w:sz w:val="28"/>
          <w:szCs w:val="28"/>
        </w:rPr>
        <w:t>7.3经费保障</w:t>
      </w:r>
      <w:r>
        <w:rPr>
          <w:rFonts w:eastAsia="方正楷体_GBK"/>
          <w:sz w:val="28"/>
          <w:szCs w:val="28"/>
        </w:rPr>
        <w:tab/>
      </w:r>
      <w:r>
        <w:rPr>
          <w:rFonts w:hint="eastAsia" w:eastAsia="方正楷体_GBK"/>
          <w:sz w:val="28"/>
          <w:szCs w:val="28"/>
          <w:lang w:val="en-US" w:eastAsia="zh-CN"/>
        </w:rPr>
        <w:t>1</w:t>
      </w:r>
      <w:r>
        <w:rPr>
          <w:rFonts w:eastAsia="方正楷体_GBK"/>
          <w:sz w:val="28"/>
          <w:szCs w:val="28"/>
        </w:rPr>
        <w:fldChar w:fldCharType="end"/>
      </w:r>
      <w:r>
        <w:rPr>
          <w:rFonts w:hint="eastAsia" w:eastAsia="方正楷体_GBK"/>
          <w:sz w:val="28"/>
          <w:szCs w:val="28"/>
          <w:lang w:val="en-US" w:eastAsia="zh-CN"/>
        </w:rPr>
        <w:t>8</w:t>
      </w:r>
    </w:p>
    <w:p>
      <w:pPr>
        <w:pStyle w:val="15"/>
        <w:tabs>
          <w:tab w:val="right" w:leader="dot" w:pos="8835"/>
          <w:tab w:val="clear" w:pos="9060"/>
        </w:tabs>
        <w:rPr>
          <w:sz w:val="28"/>
          <w:szCs w:val="28"/>
        </w:rPr>
        <w:sectPr>
          <w:footerReference r:id="rId8" w:type="default"/>
          <w:footerReference r:id="rId9" w:type="even"/>
          <w:pgSz w:w="11906" w:h="16838"/>
          <w:pgMar w:top="2098" w:right="1474" w:bottom="1984" w:left="1587" w:header="851" w:footer="1474" w:gutter="0"/>
          <w:pgNumType w:start="1"/>
          <w:cols w:space="720" w:num="1"/>
          <w:docGrid w:type="lines" w:linePitch="439" w:charSpace="0"/>
        </w:sectPr>
      </w:pPr>
    </w:p>
    <w:p>
      <w:pPr>
        <w:pStyle w:val="15"/>
        <w:tabs>
          <w:tab w:val="right" w:leader="dot" w:pos="8835"/>
          <w:tab w:val="clear" w:pos="9060"/>
        </w:tabs>
        <w:rPr>
          <w:rFonts w:hint="default" w:eastAsia="方正楷体_GBK"/>
          <w:sz w:val="28"/>
          <w:szCs w:val="28"/>
          <w:lang w:val="en-US" w:eastAsia="zh-CN"/>
        </w:rPr>
      </w:pPr>
      <w:r>
        <w:rPr>
          <w:sz w:val="28"/>
          <w:szCs w:val="28"/>
        </w:rPr>
        <w:fldChar w:fldCharType="begin"/>
      </w:r>
      <w:r>
        <w:rPr>
          <w:sz w:val="28"/>
          <w:szCs w:val="28"/>
        </w:rPr>
        <w:instrText xml:space="preserve"> HYPERLINK \l "_Toc101966225"</w:instrText>
      </w:r>
      <w:r>
        <w:rPr>
          <w:sz w:val="28"/>
          <w:szCs w:val="28"/>
        </w:rPr>
        <w:fldChar w:fldCharType="separate"/>
      </w:r>
      <w:r>
        <w:rPr>
          <w:rStyle w:val="22"/>
          <w:rFonts w:eastAsia="方正楷体_GBK"/>
          <w:color w:val="auto"/>
          <w:sz w:val="28"/>
          <w:szCs w:val="28"/>
        </w:rPr>
        <w:t>7.4信息联络保障</w:t>
      </w:r>
      <w:r>
        <w:rPr>
          <w:rFonts w:eastAsia="方正楷体_GBK"/>
          <w:sz w:val="28"/>
          <w:szCs w:val="28"/>
        </w:rPr>
        <w:tab/>
      </w:r>
      <w:r>
        <w:rPr>
          <w:rFonts w:eastAsia="方正楷体_GBK"/>
          <w:sz w:val="28"/>
          <w:szCs w:val="28"/>
        </w:rPr>
        <w:fldChar w:fldCharType="end"/>
      </w:r>
      <w:r>
        <w:rPr>
          <w:rFonts w:hint="eastAsia" w:eastAsia="方正楷体_GBK"/>
          <w:sz w:val="28"/>
          <w:szCs w:val="28"/>
          <w:lang w:val="en-US" w:eastAsia="zh-CN"/>
        </w:rPr>
        <w:t>19</w:t>
      </w:r>
    </w:p>
    <w:p>
      <w:pPr>
        <w:pStyle w:val="15"/>
        <w:tabs>
          <w:tab w:val="right" w:leader="dot" w:pos="8835"/>
          <w:tab w:val="clear" w:pos="9060"/>
        </w:tabs>
        <w:rPr>
          <w:rFonts w:eastAsia="方正楷体_GBK"/>
          <w:sz w:val="28"/>
          <w:szCs w:val="28"/>
        </w:rPr>
      </w:pPr>
      <w:r>
        <w:rPr>
          <w:sz w:val="28"/>
          <w:szCs w:val="28"/>
        </w:rPr>
        <w:fldChar w:fldCharType="begin"/>
      </w:r>
      <w:r>
        <w:rPr>
          <w:sz w:val="28"/>
          <w:szCs w:val="28"/>
        </w:rPr>
        <w:instrText xml:space="preserve"> HYPERLINK \l "_Toc101966226"</w:instrText>
      </w:r>
      <w:r>
        <w:rPr>
          <w:sz w:val="28"/>
          <w:szCs w:val="28"/>
        </w:rPr>
        <w:fldChar w:fldCharType="separate"/>
      </w:r>
      <w:r>
        <w:rPr>
          <w:rStyle w:val="22"/>
          <w:rFonts w:eastAsia="方正楷体_GBK"/>
          <w:color w:val="auto"/>
          <w:sz w:val="28"/>
          <w:szCs w:val="28"/>
        </w:rPr>
        <w:t>7.5其他保障</w:t>
      </w:r>
      <w:r>
        <w:rPr>
          <w:rFonts w:eastAsia="方正楷体_GBK"/>
          <w:sz w:val="28"/>
          <w:szCs w:val="28"/>
        </w:rPr>
        <w:tab/>
      </w:r>
      <w:r>
        <w:rPr>
          <w:rFonts w:hint="eastAsia" w:eastAsia="方正楷体_GBK"/>
          <w:sz w:val="28"/>
          <w:szCs w:val="28"/>
          <w:lang w:val="en-US" w:eastAsia="zh-CN"/>
        </w:rPr>
        <w:t>19</w:t>
      </w:r>
      <w:r>
        <w:rPr>
          <w:rFonts w:eastAsia="方正楷体_GBK"/>
          <w:sz w:val="28"/>
          <w:szCs w:val="28"/>
        </w:rPr>
        <w:fldChar w:fldCharType="end"/>
      </w:r>
    </w:p>
    <w:p>
      <w:pPr>
        <w:pStyle w:val="14"/>
        <w:tabs>
          <w:tab w:val="right" w:leader="dot" w:pos="8835"/>
          <w:tab w:val="clear" w:pos="9060"/>
        </w:tabs>
        <w:ind w:firstLine="640"/>
        <w:rPr>
          <w:rFonts w:hint="eastAsia" w:eastAsia="方正楷体_GBK"/>
          <w:sz w:val="28"/>
          <w:szCs w:val="28"/>
          <w:lang w:val="en-US" w:eastAsia="zh-CN"/>
        </w:rPr>
      </w:pPr>
      <w:r>
        <w:rPr>
          <w:sz w:val="28"/>
          <w:szCs w:val="28"/>
        </w:rPr>
        <w:fldChar w:fldCharType="begin"/>
      </w:r>
      <w:r>
        <w:rPr>
          <w:sz w:val="28"/>
          <w:szCs w:val="28"/>
        </w:rPr>
        <w:instrText xml:space="preserve"> HYPERLINK \l "_Toc101966227"</w:instrText>
      </w:r>
      <w:r>
        <w:rPr>
          <w:sz w:val="28"/>
          <w:szCs w:val="28"/>
        </w:rPr>
        <w:fldChar w:fldCharType="separate"/>
      </w:r>
      <w:r>
        <w:rPr>
          <w:rStyle w:val="22"/>
          <w:rFonts w:hint="eastAsia" w:ascii="方正黑体_GBK" w:eastAsia="方正黑体_GBK"/>
          <w:color w:val="auto"/>
          <w:sz w:val="28"/>
          <w:szCs w:val="28"/>
        </w:rPr>
        <w:t>8 监督问责</w:t>
      </w:r>
      <w:r>
        <w:rPr>
          <w:rFonts w:eastAsia="方正楷体_GBK"/>
          <w:sz w:val="28"/>
          <w:szCs w:val="28"/>
        </w:rPr>
        <w:tab/>
      </w:r>
      <w:r>
        <w:rPr>
          <w:rFonts w:hint="eastAsia" w:eastAsia="方正楷体_GBK"/>
          <w:sz w:val="28"/>
          <w:szCs w:val="28"/>
          <w:lang w:val="en-US" w:eastAsia="zh-CN"/>
        </w:rPr>
        <w:t>1</w:t>
      </w:r>
      <w:r>
        <w:rPr>
          <w:rFonts w:eastAsia="方正楷体_GBK"/>
          <w:sz w:val="28"/>
          <w:szCs w:val="28"/>
        </w:rPr>
        <w:fldChar w:fldCharType="end"/>
      </w:r>
      <w:r>
        <w:rPr>
          <w:rFonts w:hint="eastAsia" w:eastAsia="方正楷体_GBK"/>
          <w:sz w:val="28"/>
          <w:szCs w:val="28"/>
          <w:lang w:val="en-US" w:eastAsia="zh-CN"/>
        </w:rPr>
        <w:t>9</w:t>
      </w:r>
    </w:p>
    <w:p>
      <w:pPr>
        <w:ind w:left="0" w:leftChars="0" w:firstLine="638" w:firstLineChars="228"/>
        <w:rPr>
          <w:rFonts w:hint="default" w:eastAsia="方正楷体_GBK"/>
          <w:lang w:val="en-US" w:eastAsia="zh-CN"/>
        </w:rPr>
      </w:pPr>
      <w:r>
        <w:rPr>
          <w:sz w:val="28"/>
          <w:szCs w:val="28"/>
        </w:rPr>
        <w:fldChar w:fldCharType="begin"/>
      </w:r>
      <w:r>
        <w:rPr>
          <w:sz w:val="28"/>
          <w:szCs w:val="28"/>
        </w:rPr>
        <w:instrText xml:space="preserve"> HYPERLINK \l "_Toc101966227"</w:instrText>
      </w:r>
      <w:r>
        <w:rPr>
          <w:sz w:val="28"/>
          <w:szCs w:val="28"/>
        </w:rPr>
        <w:fldChar w:fldCharType="separate"/>
      </w:r>
      <w:r>
        <w:rPr>
          <w:rFonts w:hint="eastAsia"/>
          <w:sz w:val="28"/>
          <w:szCs w:val="28"/>
          <w:lang w:val="en-US" w:eastAsia="zh-CN"/>
        </w:rPr>
        <w:t>9</w:t>
      </w:r>
      <w:r>
        <w:rPr>
          <w:rStyle w:val="22"/>
          <w:rFonts w:hint="eastAsia" w:ascii="方正黑体_GBK" w:eastAsia="方正黑体_GBK"/>
          <w:color w:val="auto"/>
          <w:sz w:val="28"/>
          <w:szCs w:val="28"/>
        </w:rPr>
        <w:t xml:space="preserve"> </w:t>
      </w:r>
      <w:r>
        <w:rPr>
          <w:rStyle w:val="22"/>
          <w:rFonts w:hint="eastAsia" w:ascii="方正黑体_GBK" w:eastAsia="方正黑体_GBK"/>
          <w:color w:val="auto"/>
          <w:sz w:val="28"/>
          <w:szCs w:val="28"/>
          <w:lang w:eastAsia="zh-CN"/>
        </w:rPr>
        <w:t>附则</w:t>
      </w:r>
      <w:r>
        <w:rPr>
          <w:rFonts w:eastAsia="方正楷体_GBK"/>
          <w:sz w:val="28"/>
          <w:szCs w:val="28"/>
        </w:rPr>
        <w:fldChar w:fldCharType="end"/>
      </w:r>
      <w:r>
        <w:rPr>
          <w:rFonts w:hint="eastAsia" w:eastAsia="方正楷体_GBK"/>
          <w:sz w:val="28"/>
          <w:szCs w:val="28"/>
          <w:lang w:val="en-US" w:eastAsia="zh-CN"/>
        </w:rPr>
        <w:t>.....................................................................................................20</w:t>
      </w:r>
    </w:p>
    <w:p>
      <w:pPr>
        <w:pStyle w:val="14"/>
        <w:tabs>
          <w:tab w:val="right" w:leader="dot" w:pos="8835"/>
          <w:tab w:val="clear" w:pos="9060"/>
        </w:tabs>
        <w:ind w:firstLine="640"/>
        <w:rPr>
          <w:rFonts w:eastAsia="方正楷体_GBK"/>
          <w:sz w:val="28"/>
          <w:szCs w:val="28"/>
        </w:rPr>
      </w:pPr>
      <w:r>
        <w:rPr>
          <w:sz w:val="28"/>
          <w:szCs w:val="28"/>
        </w:rPr>
        <w:fldChar w:fldCharType="begin"/>
      </w:r>
      <w:r>
        <w:rPr>
          <w:sz w:val="28"/>
          <w:szCs w:val="28"/>
        </w:rPr>
        <w:instrText xml:space="preserve"> HYPERLINK \l "_Toc101966228"</w:instrText>
      </w:r>
      <w:r>
        <w:rPr>
          <w:sz w:val="28"/>
          <w:szCs w:val="28"/>
        </w:rPr>
        <w:fldChar w:fldCharType="separate"/>
      </w:r>
      <w:r>
        <w:rPr>
          <w:rStyle w:val="22"/>
          <w:rFonts w:eastAsia="方正楷体_GBK"/>
          <w:color w:val="auto"/>
          <w:kern w:val="0"/>
          <w:sz w:val="28"/>
          <w:szCs w:val="28"/>
        </w:rPr>
        <w:t>附件1</w:t>
      </w:r>
      <w:r>
        <w:rPr>
          <w:rFonts w:eastAsia="方正楷体_GBK"/>
          <w:sz w:val="28"/>
          <w:szCs w:val="28"/>
        </w:rPr>
        <w:tab/>
      </w:r>
      <w:r>
        <w:rPr>
          <w:rFonts w:eastAsia="方正楷体_GBK"/>
          <w:sz w:val="28"/>
          <w:szCs w:val="28"/>
        </w:rPr>
        <w:fldChar w:fldCharType="begin"/>
      </w:r>
      <w:r>
        <w:rPr>
          <w:rFonts w:eastAsia="方正楷体_GBK"/>
          <w:sz w:val="28"/>
          <w:szCs w:val="28"/>
        </w:rPr>
        <w:instrText xml:space="preserve"> PAGEREF _Toc101966228 \h </w:instrText>
      </w:r>
      <w:r>
        <w:rPr>
          <w:rFonts w:eastAsia="方正楷体_GBK"/>
          <w:sz w:val="28"/>
          <w:szCs w:val="28"/>
        </w:rPr>
        <w:fldChar w:fldCharType="separate"/>
      </w:r>
      <w:r>
        <w:rPr>
          <w:rFonts w:eastAsia="方正楷体_GBK"/>
          <w:sz w:val="28"/>
          <w:szCs w:val="28"/>
        </w:rPr>
        <w:t>22</w:t>
      </w:r>
      <w:r>
        <w:rPr>
          <w:rFonts w:eastAsia="方正楷体_GBK"/>
          <w:sz w:val="28"/>
          <w:szCs w:val="28"/>
        </w:rPr>
        <w:fldChar w:fldCharType="end"/>
      </w:r>
      <w:r>
        <w:rPr>
          <w:rFonts w:eastAsia="方正楷体_GBK"/>
          <w:sz w:val="28"/>
          <w:szCs w:val="28"/>
        </w:rPr>
        <w:fldChar w:fldCharType="end"/>
      </w:r>
    </w:p>
    <w:p>
      <w:pPr>
        <w:pStyle w:val="14"/>
        <w:tabs>
          <w:tab w:val="right" w:leader="dot" w:pos="8835"/>
          <w:tab w:val="clear" w:pos="9060"/>
        </w:tabs>
        <w:ind w:firstLine="640"/>
        <w:rPr>
          <w:rFonts w:hint="eastAsia" w:eastAsia="方正楷体_GBK"/>
          <w:sz w:val="28"/>
          <w:szCs w:val="28"/>
          <w:lang w:val="en-US" w:eastAsia="zh-CN"/>
        </w:rPr>
      </w:pPr>
      <w:r>
        <w:rPr>
          <w:sz w:val="28"/>
          <w:szCs w:val="28"/>
        </w:rPr>
        <w:fldChar w:fldCharType="begin"/>
      </w:r>
      <w:r>
        <w:rPr>
          <w:sz w:val="28"/>
          <w:szCs w:val="28"/>
        </w:rPr>
        <w:instrText xml:space="preserve"> HYPERLINK \l "_Toc101966229"</w:instrText>
      </w:r>
      <w:r>
        <w:rPr>
          <w:sz w:val="28"/>
          <w:szCs w:val="28"/>
        </w:rPr>
        <w:fldChar w:fldCharType="separate"/>
      </w:r>
      <w:r>
        <w:rPr>
          <w:rStyle w:val="22"/>
          <w:rFonts w:eastAsia="方正楷体_GBK"/>
          <w:color w:val="auto"/>
          <w:sz w:val="28"/>
          <w:szCs w:val="28"/>
        </w:rPr>
        <w:t>附件2</w:t>
      </w:r>
      <w:r>
        <w:rPr>
          <w:rFonts w:eastAsia="方正楷体_GBK"/>
          <w:sz w:val="28"/>
          <w:szCs w:val="28"/>
        </w:rPr>
        <w:tab/>
      </w:r>
      <w:r>
        <w:rPr>
          <w:rFonts w:hint="eastAsia" w:eastAsia="方正楷体_GBK"/>
          <w:sz w:val="28"/>
          <w:szCs w:val="28"/>
          <w:lang w:val="en-US" w:eastAsia="zh-CN"/>
        </w:rPr>
        <w:t>2</w:t>
      </w:r>
      <w:r>
        <w:rPr>
          <w:rFonts w:eastAsia="方正楷体_GBK"/>
          <w:sz w:val="28"/>
          <w:szCs w:val="28"/>
        </w:rPr>
        <w:fldChar w:fldCharType="end"/>
      </w:r>
      <w:r>
        <w:rPr>
          <w:rFonts w:hint="eastAsia" w:eastAsia="方正楷体_GBK"/>
          <w:sz w:val="28"/>
          <w:szCs w:val="28"/>
          <w:lang w:val="en-US" w:eastAsia="zh-CN"/>
        </w:rPr>
        <w:t>7</w:t>
      </w:r>
    </w:p>
    <w:p>
      <w:pPr>
        <w:pStyle w:val="14"/>
        <w:tabs>
          <w:tab w:val="right" w:leader="dot" w:pos="8835"/>
          <w:tab w:val="clear" w:pos="9060"/>
        </w:tabs>
        <w:ind w:firstLine="640"/>
        <w:rPr>
          <w:rFonts w:hint="eastAsia" w:eastAsia="方正楷体_GBK"/>
          <w:sz w:val="28"/>
          <w:szCs w:val="28"/>
          <w:lang w:val="en-US" w:eastAsia="zh-CN"/>
        </w:rPr>
      </w:pPr>
      <w:r>
        <w:rPr>
          <w:sz w:val="28"/>
          <w:szCs w:val="28"/>
        </w:rPr>
        <w:fldChar w:fldCharType="begin"/>
      </w:r>
      <w:r>
        <w:rPr>
          <w:sz w:val="28"/>
          <w:szCs w:val="28"/>
        </w:rPr>
        <w:instrText xml:space="preserve"> HYPERLINK \l "_Toc101966230"</w:instrText>
      </w:r>
      <w:r>
        <w:rPr>
          <w:sz w:val="28"/>
          <w:szCs w:val="28"/>
        </w:rPr>
        <w:fldChar w:fldCharType="separate"/>
      </w:r>
      <w:r>
        <w:rPr>
          <w:rStyle w:val="22"/>
          <w:rFonts w:eastAsia="方正楷体_GBK"/>
          <w:color w:val="auto"/>
          <w:sz w:val="28"/>
          <w:szCs w:val="28"/>
        </w:rPr>
        <w:t>附件3</w:t>
      </w:r>
      <w:r>
        <w:rPr>
          <w:rFonts w:eastAsia="方正楷体_GBK"/>
          <w:sz w:val="28"/>
          <w:szCs w:val="28"/>
        </w:rPr>
        <w:tab/>
      </w:r>
      <w:r>
        <w:rPr>
          <w:rFonts w:hint="eastAsia" w:eastAsia="方正楷体_GBK"/>
          <w:sz w:val="28"/>
          <w:szCs w:val="28"/>
        </w:rPr>
        <w:t>2</w:t>
      </w:r>
      <w:r>
        <w:rPr>
          <w:rFonts w:eastAsia="方正楷体_GBK"/>
          <w:sz w:val="28"/>
          <w:szCs w:val="28"/>
        </w:rPr>
        <w:fldChar w:fldCharType="end"/>
      </w:r>
      <w:r>
        <w:rPr>
          <w:rFonts w:hint="eastAsia" w:eastAsia="方正楷体_GBK"/>
          <w:sz w:val="28"/>
          <w:szCs w:val="28"/>
          <w:lang w:val="en-US" w:eastAsia="zh-CN"/>
        </w:rPr>
        <w:t>9</w:t>
      </w:r>
    </w:p>
    <w:p>
      <w:pPr>
        <w:ind w:firstLine="658" w:firstLineChars="235"/>
        <w:jc w:val="left"/>
        <w:rPr>
          <w:rFonts w:hint="default" w:eastAsia="方正楷体_GBK"/>
          <w:sz w:val="28"/>
          <w:szCs w:val="28"/>
          <w:lang w:val="en-US" w:eastAsia="zh-CN"/>
        </w:rPr>
      </w:pPr>
      <w:r>
        <w:rPr>
          <w:sz w:val="28"/>
          <w:szCs w:val="28"/>
        </w:rPr>
        <w:fldChar w:fldCharType="begin"/>
      </w:r>
      <w:r>
        <w:rPr>
          <w:sz w:val="28"/>
          <w:szCs w:val="28"/>
        </w:rPr>
        <w:instrText xml:space="preserve"> HYPERLINK \l "_Toc101966230"</w:instrText>
      </w:r>
      <w:r>
        <w:rPr>
          <w:sz w:val="28"/>
          <w:szCs w:val="28"/>
        </w:rPr>
        <w:fldChar w:fldCharType="separate"/>
      </w:r>
      <w:r>
        <w:rPr>
          <w:rStyle w:val="22"/>
          <w:rFonts w:eastAsia="方正楷体_GBK"/>
          <w:color w:val="auto"/>
          <w:sz w:val="28"/>
          <w:szCs w:val="28"/>
        </w:rPr>
        <w:t>附件</w:t>
      </w:r>
      <w:r>
        <w:rPr>
          <w:rStyle w:val="22"/>
          <w:rFonts w:hint="eastAsia" w:eastAsia="方正楷体_GBK"/>
          <w:color w:val="auto"/>
          <w:sz w:val="28"/>
          <w:szCs w:val="28"/>
        </w:rPr>
        <w:t>4..</w:t>
      </w:r>
      <w:r>
        <w:rPr>
          <w:rFonts w:hint="eastAsia" w:eastAsia="方正楷体_GBK"/>
          <w:sz w:val="28"/>
          <w:szCs w:val="28"/>
        </w:rPr>
        <w:t>...................................................................................................</w:t>
      </w:r>
      <w:r>
        <w:rPr>
          <w:rFonts w:eastAsia="方正楷体_GBK"/>
          <w:sz w:val="28"/>
          <w:szCs w:val="28"/>
        </w:rPr>
        <w:fldChar w:fldCharType="end"/>
      </w:r>
      <w:r>
        <w:rPr>
          <w:rFonts w:hint="eastAsia" w:eastAsia="方正楷体_GBK"/>
          <w:sz w:val="28"/>
          <w:szCs w:val="28"/>
          <w:lang w:val="en-US" w:eastAsia="zh-CN"/>
        </w:rPr>
        <w:t>.30</w:t>
      </w:r>
    </w:p>
    <w:p>
      <w:pPr>
        <w:spacing w:line="360" w:lineRule="auto"/>
        <w:outlineLvl w:val="3"/>
        <w:rPr>
          <w:b/>
          <w:bCs/>
          <w:kern w:val="44"/>
          <w:szCs w:val="28"/>
        </w:rPr>
      </w:pPr>
      <w:r>
        <w:rPr>
          <w:rFonts w:eastAsia="方正楷体_GBK"/>
          <w:sz w:val="28"/>
          <w:szCs w:val="28"/>
        </w:rPr>
        <w:fldChar w:fldCharType="end"/>
      </w:r>
    </w:p>
    <w:p>
      <w:pPr>
        <w:spacing w:line="360" w:lineRule="auto"/>
        <w:jc w:val="center"/>
        <w:outlineLvl w:val="3"/>
        <w:rPr>
          <w:b/>
          <w:bCs/>
          <w:kern w:val="44"/>
          <w:szCs w:val="28"/>
        </w:rPr>
      </w:pPr>
    </w:p>
    <w:p>
      <w:pPr>
        <w:spacing w:line="360" w:lineRule="auto"/>
        <w:ind w:left="420" w:firstLine="640"/>
        <w:outlineLvl w:val="0"/>
        <w:rPr>
          <w:rFonts w:eastAsia="黑体"/>
          <w:bCs/>
          <w:sz w:val="30"/>
          <w:szCs w:val="32"/>
        </w:rPr>
        <w:sectPr>
          <w:footerReference r:id="rId10" w:type="default"/>
          <w:footerReference r:id="rId11" w:type="even"/>
          <w:pgSz w:w="11906" w:h="16838"/>
          <w:pgMar w:top="2098" w:right="1474" w:bottom="1984" w:left="1587" w:header="851" w:footer="1474" w:gutter="0"/>
          <w:pgNumType w:start="1"/>
          <w:cols w:space="720" w:num="1"/>
          <w:docGrid w:type="lines" w:linePitch="439" w:charSpace="0"/>
        </w:sectPr>
      </w:pPr>
      <w:bookmarkStart w:id="0" w:name="_Toc90560900"/>
    </w:p>
    <w:bookmarkEnd w:id="0"/>
    <w:p>
      <w:pPr>
        <w:pStyle w:val="2"/>
        <w:ind w:firstLine="640"/>
      </w:pPr>
      <w:bookmarkStart w:id="1" w:name="_Toc101966201"/>
      <w:bookmarkStart w:id="2" w:name="_Toc95922297"/>
      <w:r>
        <w:rPr>
          <w:rFonts w:hint="eastAsia"/>
        </w:rPr>
        <w:t>1 总则</w:t>
      </w:r>
      <w:bookmarkEnd w:id="1"/>
      <w:bookmarkEnd w:id="2"/>
    </w:p>
    <w:p>
      <w:pPr>
        <w:pStyle w:val="3"/>
        <w:ind w:firstLine="640"/>
      </w:pPr>
      <w:bookmarkStart w:id="3" w:name="_Toc950"/>
      <w:bookmarkStart w:id="4" w:name="_Toc26972"/>
      <w:bookmarkStart w:id="5" w:name="_Toc95922298"/>
      <w:bookmarkStart w:id="6" w:name="_Toc90560901"/>
      <w:bookmarkStart w:id="7" w:name="_Toc89243564"/>
      <w:bookmarkStart w:id="8" w:name="_Toc101966202"/>
      <w:r>
        <w:t>1.1编制目的</w:t>
      </w:r>
      <w:bookmarkEnd w:id="3"/>
      <w:bookmarkEnd w:id="4"/>
      <w:bookmarkEnd w:id="5"/>
      <w:bookmarkEnd w:id="6"/>
      <w:bookmarkEnd w:id="7"/>
      <w:bookmarkEnd w:id="8"/>
    </w:p>
    <w:p>
      <w:pPr>
        <w:spacing w:line="594" w:lineRule="exact"/>
        <w:ind w:firstLine="640"/>
        <w:rPr>
          <w:kern w:val="0"/>
          <w:szCs w:val="32"/>
        </w:rPr>
      </w:pPr>
      <w:r>
        <w:rPr>
          <w:kern w:val="0"/>
          <w:szCs w:val="32"/>
        </w:rPr>
        <w:t>进一步规范我</w:t>
      </w:r>
      <w:r>
        <w:rPr>
          <w:rFonts w:hint="eastAsia"/>
          <w:kern w:val="0"/>
          <w:szCs w:val="32"/>
        </w:rPr>
        <w:t>区</w:t>
      </w:r>
      <w:r>
        <w:rPr>
          <w:kern w:val="0"/>
          <w:szCs w:val="32"/>
        </w:rPr>
        <w:t>重污染天气应对工作，提高预测预警和应急处置能力，降低危害程度，确保环境安全和公众身体健康。</w:t>
      </w:r>
    </w:p>
    <w:p>
      <w:pPr>
        <w:pStyle w:val="3"/>
        <w:ind w:firstLine="640"/>
      </w:pPr>
      <w:bookmarkStart w:id="9" w:name="_Toc4160"/>
      <w:bookmarkStart w:id="10" w:name="_Toc89243565"/>
      <w:bookmarkStart w:id="11" w:name="_Toc101966203"/>
      <w:bookmarkStart w:id="12" w:name="_Toc22666"/>
      <w:bookmarkStart w:id="13" w:name="_Toc90560902"/>
      <w:bookmarkStart w:id="14" w:name="_Toc95922299"/>
      <w:r>
        <w:t>1.2编制依据</w:t>
      </w:r>
      <w:bookmarkEnd w:id="9"/>
      <w:bookmarkEnd w:id="10"/>
      <w:bookmarkEnd w:id="11"/>
      <w:bookmarkEnd w:id="12"/>
      <w:bookmarkEnd w:id="13"/>
      <w:bookmarkEnd w:id="14"/>
    </w:p>
    <w:p>
      <w:pPr>
        <w:spacing w:line="594" w:lineRule="exact"/>
        <w:ind w:firstLine="640"/>
        <w:rPr>
          <w:kern w:val="0"/>
          <w:szCs w:val="32"/>
        </w:rPr>
      </w:pPr>
      <w:r>
        <w:rPr>
          <w:kern w:val="0"/>
          <w:szCs w:val="32"/>
        </w:rPr>
        <w:t>依据《中华人民共和国大气污染防治法》《中共中央国务院关于深入打好污染防治攻坚战的意见》《成渝地区双城经济圈建设规划纲要》《成渝地区双城经济圈生态环境保护规划》《关于做好</w:t>
      </w:r>
      <w:r>
        <w:rPr>
          <w:rFonts w:hint="eastAsia"/>
          <w:kern w:val="0"/>
          <w:szCs w:val="32"/>
        </w:rPr>
        <w:t>“</w:t>
      </w:r>
      <w:r>
        <w:rPr>
          <w:kern w:val="0"/>
          <w:szCs w:val="32"/>
        </w:rPr>
        <w:t>十四五</w:t>
      </w:r>
      <w:r>
        <w:rPr>
          <w:rFonts w:hint="eastAsia"/>
          <w:kern w:val="0"/>
          <w:szCs w:val="32"/>
        </w:rPr>
        <w:t>”</w:t>
      </w:r>
      <w:r>
        <w:rPr>
          <w:kern w:val="0"/>
          <w:szCs w:val="32"/>
        </w:rPr>
        <w:t>期间重污染天气应对工作的指导意见》《生态环境部办公厅关于加强重污染天气应对夯实应急减排措施的指导意见》《生态环境部办公厅关于印发重污染天气重点行业应急减排措施制定技术指南（2020年修订版）的函》《重庆市大气污染防治条例》《重庆市突发事件总体应急预案》等法律法规及有关规定，制定本预案。</w:t>
      </w:r>
    </w:p>
    <w:p>
      <w:pPr>
        <w:pStyle w:val="3"/>
        <w:ind w:firstLine="640"/>
      </w:pPr>
      <w:bookmarkStart w:id="15" w:name="_Toc90560903"/>
      <w:bookmarkStart w:id="16" w:name="_Toc95922300"/>
      <w:bookmarkStart w:id="17" w:name="_Toc89243566"/>
      <w:bookmarkStart w:id="18" w:name="_Toc101966204"/>
      <w:bookmarkStart w:id="19" w:name="_Toc21173"/>
      <w:bookmarkStart w:id="20" w:name="_Toc22300"/>
      <w:r>
        <w:t>1.3适用范围</w:t>
      </w:r>
      <w:bookmarkEnd w:id="15"/>
      <w:bookmarkEnd w:id="16"/>
      <w:bookmarkEnd w:id="17"/>
      <w:bookmarkEnd w:id="18"/>
      <w:bookmarkEnd w:id="19"/>
      <w:bookmarkEnd w:id="20"/>
    </w:p>
    <w:p>
      <w:pPr>
        <w:spacing w:line="594" w:lineRule="exact"/>
        <w:ind w:firstLine="640"/>
        <w:rPr>
          <w:kern w:val="0"/>
          <w:szCs w:val="32"/>
        </w:rPr>
      </w:pPr>
      <w:r>
        <w:rPr>
          <w:kern w:val="0"/>
          <w:szCs w:val="32"/>
        </w:rPr>
        <w:t>本预案所指的重污染天气，是指根据《环境空气质量指数（AQI）技术规定（试行）》（HJ633—2012），日AQI大于200，或细颗粒物（PM</w:t>
      </w:r>
      <w:r>
        <w:rPr>
          <w:kern w:val="0"/>
          <w:szCs w:val="32"/>
          <w:vertAlign w:val="subscript"/>
        </w:rPr>
        <w:t>2.5</w:t>
      </w:r>
      <w:r>
        <w:rPr>
          <w:kern w:val="0"/>
          <w:szCs w:val="32"/>
        </w:rPr>
        <w:t>）日浓度大于115微克每立方米，或臭氧日最大8小时（O</w:t>
      </w:r>
      <w:r>
        <w:rPr>
          <w:kern w:val="0"/>
          <w:szCs w:val="32"/>
          <w:vertAlign w:val="subscript"/>
        </w:rPr>
        <w:t>3-8h</w:t>
      </w:r>
      <w:r>
        <w:rPr>
          <w:kern w:val="0"/>
          <w:szCs w:val="32"/>
        </w:rPr>
        <w:t>）浓度大于215微克每立方米的大气污染。</w:t>
      </w:r>
    </w:p>
    <w:p>
      <w:pPr>
        <w:spacing w:line="594" w:lineRule="exact"/>
        <w:ind w:firstLine="640"/>
        <w:rPr>
          <w:kern w:val="0"/>
          <w:szCs w:val="32"/>
        </w:rPr>
      </w:pPr>
      <w:r>
        <w:rPr>
          <w:kern w:val="0"/>
          <w:szCs w:val="32"/>
        </w:rPr>
        <w:t>本预案适用于</w:t>
      </w:r>
      <w:r>
        <w:rPr>
          <w:rFonts w:hint="eastAsia"/>
          <w:kern w:val="0"/>
          <w:szCs w:val="32"/>
        </w:rPr>
        <w:t>长寿区</w:t>
      </w:r>
      <w:r>
        <w:rPr>
          <w:kern w:val="0"/>
          <w:szCs w:val="32"/>
        </w:rPr>
        <w:t>行政区域内发生或即将发生重污染天气的应对</w:t>
      </w:r>
      <w:r>
        <w:rPr>
          <w:rFonts w:hint="eastAsia"/>
          <w:kern w:val="0"/>
          <w:szCs w:val="32"/>
        </w:rPr>
        <w:t>处置</w:t>
      </w:r>
      <w:r>
        <w:rPr>
          <w:kern w:val="0"/>
          <w:szCs w:val="32"/>
        </w:rPr>
        <w:t>工作。</w:t>
      </w:r>
    </w:p>
    <w:p>
      <w:pPr>
        <w:pStyle w:val="3"/>
        <w:ind w:firstLine="640"/>
      </w:pPr>
      <w:bookmarkStart w:id="21" w:name="_Toc8967"/>
      <w:bookmarkStart w:id="22" w:name="_Toc101966205"/>
      <w:bookmarkStart w:id="23" w:name="_Toc95922301"/>
      <w:bookmarkStart w:id="24" w:name="_Toc8972"/>
      <w:bookmarkStart w:id="25" w:name="_Toc90560904"/>
      <w:bookmarkStart w:id="26" w:name="_Toc89243567"/>
      <w:r>
        <w:t>1.4工作原则</w:t>
      </w:r>
      <w:bookmarkEnd w:id="21"/>
      <w:bookmarkEnd w:id="22"/>
      <w:bookmarkEnd w:id="23"/>
      <w:bookmarkEnd w:id="24"/>
      <w:bookmarkEnd w:id="25"/>
      <w:bookmarkEnd w:id="26"/>
    </w:p>
    <w:p>
      <w:pPr>
        <w:spacing w:line="594" w:lineRule="exact"/>
        <w:ind w:firstLine="640"/>
        <w:rPr>
          <w:kern w:val="0"/>
          <w:szCs w:val="32"/>
        </w:rPr>
      </w:pPr>
      <w:r>
        <w:rPr>
          <w:kern w:val="0"/>
          <w:szCs w:val="32"/>
        </w:rPr>
        <w:t>以人为本，预防为主。以保障公众身体健康为首要目标，提前预警，强化重污染天气应急响应措施，最大程度降低重污染天气对公众身体健康的影响。</w:t>
      </w:r>
    </w:p>
    <w:p>
      <w:pPr>
        <w:spacing w:line="594" w:lineRule="exact"/>
        <w:ind w:firstLine="640"/>
        <w:rPr>
          <w:kern w:val="0"/>
          <w:szCs w:val="32"/>
        </w:rPr>
      </w:pPr>
      <w:r>
        <w:rPr>
          <w:kern w:val="0"/>
          <w:szCs w:val="32"/>
        </w:rPr>
        <w:t>统一领导</w:t>
      </w:r>
      <w:r>
        <w:rPr>
          <w:rFonts w:hint="eastAsia"/>
          <w:kern w:val="0"/>
          <w:szCs w:val="32"/>
        </w:rPr>
        <w:t>，属地</w:t>
      </w:r>
      <w:r>
        <w:rPr>
          <w:kern w:val="0"/>
          <w:szCs w:val="32"/>
        </w:rPr>
        <w:t>管理。建立全</w:t>
      </w:r>
      <w:r>
        <w:rPr>
          <w:rFonts w:hint="eastAsia"/>
          <w:kern w:val="0"/>
          <w:szCs w:val="32"/>
        </w:rPr>
        <w:t>区</w:t>
      </w:r>
      <w:r>
        <w:rPr>
          <w:kern w:val="0"/>
          <w:szCs w:val="32"/>
        </w:rPr>
        <w:t>统一的重污染天气应急指挥系统，落实各级政府重污染天气应对工作的主体责任，及时发布预警信息，积极组织做好重污染天气应急处置工作。</w:t>
      </w:r>
    </w:p>
    <w:p>
      <w:pPr>
        <w:spacing w:line="594" w:lineRule="exact"/>
        <w:ind w:firstLine="640"/>
        <w:rPr>
          <w:kern w:val="0"/>
          <w:szCs w:val="32"/>
        </w:rPr>
      </w:pPr>
      <w:r>
        <w:rPr>
          <w:kern w:val="0"/>
          <w:szCs w:val="32"/>
        </w:rPr>
        <w:t>科学预警，分级管控。完善空气质量监测监控体系，加强分析研判，实行定期会商，科学预警。根据不同级别应急响应，实施重点行业绩效分级管理，严格差别化管控措施，推动行业治理水平整体提升，实现污染减排与行业高质量发展双赢。</w:t>
      </w:r>
    </w:p>
    <w:p>
      <w:pPr>
        <w:spacing w:line="594" w:lineRule="exact"/>
        <w:ind w:firstLine="640"/>
        <w:rPr>
          <w:kern w:val="0"/>
          <w:szCs w:val="32"/>
        </w:rPr>
      </w:pPr>
      <w:r>
        <w:rPr>
          <w:kern w:val="0"/>
          <w:szCs w:val="32"/>
        </w:rPr>
        <w:t>部门联动</w:t>
      </w:r>
      <w:r>
        <w:rPr>
          <w:rFonts w:hint="eastAsia"/>
          <w:kern w:val="0"/>
          <w:szCs w:val="32"/>
        </w:rPr>
        <w:t>，</w:t>
      </w:r>
      <w:r>
        <w:rPr>
          <w:kern w:val="0"/>
          <w:szCs w:val="32"/>
        </w:rPr>
        <w:t>社会参与。各有关部门各司其职，强化协作，综合采用经济、法律以及必要的行政手段协同做好重污染天气应急处置工作，形成重污染应对合力。倡导公众绿色低碳生活，广泛动员社会各界积极参与重污染天气应对工作。</w:t>
      </w:r>
    </w:p>
    <w:p>
      <w:pPr>
        <w:pStyle w:val="3"/>
        <w:ind w:firstLine="640"/>
      </w:pPr>
      <w:bookmarkStart w:id="27" w:name="_Toc15123"/>
      <w:bookmarkStart w:id="28" w:name="_Toc95922302"/>
      <w:bookmarkStart w:id="29" w:name="_Toc89243568"/>
      <w:bookmarkStart w:id="30" w:name="_Toc90560905"/>
      <w:bookmarkStart w:id="31" w:name="_Toc9361"/>
      <w:bookmarkStart w:id="32" w:name="_Toc101966206"/>
      <w:r>
        <w:t>1.5预案体系</w:t>
      </w:r>
      <w:bookmarkEnd w:id="27"/>
      <w:bookmarkEnd w:id="28"/>
      <w:bookmarkEnd w:id="29"/>
      <w:bookmarkEnd w:id="30"/>
      <w:bookmarkEnd w:id="31"/>
      <w:bookmarkEnd w:id="32"/>
    </w:p>
    <w:p>
      <w:pPr>
        <w:spacing w:line="594" w:lineRule="exact"/>
        <w:ind w:firstLine="640"/>
        <w:rPr>
          <w:kern w:val="0"/>
          <w:szCs w:val="32"/>
        </w:rPr>
      </w:pPr>
      <w:r>
        <w:rPr>
          <w:szCs w:val="32"/>
        </w:rPr>
        <w:t>长寿区重污染天气应急预案体系包括长寿区重污染天气应急预案、各部门重污染天气应急专项实施方案（包括重污染天气工业企业限产停产方案、机动车限行方案、建筑施工扬尘控制方案、拆迁施工工地扬尘控制方案、道路运输扬尘控制方案、气象干预方案、停办大型户外活动方案、中小学幼儿园停止户外活动和停课方案、重污染天气应对宣传方案等）和重点企业重污染天气应急专项实施方案</w:t>
      </w:r>
      <w:r>
        <w:rPr>
          <w:kern w:val="0"/>
          <w:szCs w:val="32"/>
        </w:rPr>
        <w:t>。</w:t>
      </w:r>
    </w:p>
    <w:p>
      <w:pPr>
        <w:pStyle w:val="2"/>
        <w:ind w:firstLine="640"/>
      </w:pPr>
      <w:bookmarkStart w:id="33" w:name="_Toc95922303"/>
      <w:bookmarkStart w:id="34" w:name="_Toc89243569"/>
      <w:bookmarkStart w:id="35" w:name="_Toc10054"/>
      <w:bookmarkStart w:id="36" w:name="_Toc101966207"/>
      <w:bookmarkStart w:id="37" w:name="_Toc31614"/>
      <w:bookmarkStart w:id="38" w:name="_Toc90560906"/>
      <w:r>
        <w:t>2 组织指挥机构</w:t>
      </w:r>
      <w:bookmarkEnd w:id="33"/>
      <w:bookmarkEnd w:id="34"/>
      <w:bookmarkEnd w:id="35"/>
      <w:bookmarkEnd w:id="36"/>
      <w:bookmarkEnd w:id="37"/>
      <w:bookmarkEnd w:id="38"/>
    </w:p>
    <w:p>
      <w:pPr>
        <w:spacing w:line="560" w:lineRule="exact"/>
        <w:ind w:firstLine="640" w:firstLineChars="200"/>
        <w:rPr>
          <w:szCs w:val="32"/>
        </w:rPr>
      </w:pPr>
      <w:bookmarkStart w:id="39" w:name="_Toc101966210"/>
      <w:bookmarkStart w:id="40" w:name="_Toc21930"/>
      <w:bookmarkStart w:id="41" w:name="_Toc14845"/>
      <w:bookmarkStart w:id="42" w:name="_Toc95922306"/>
      <w:bookmarkStart w:id="43" w:name="_Toc90560909"/>
      <w:bookmarkStart w:id="44" w:name="_Toc89243572"/>
      <w:r>
        <w:rPr>
          <w:szCs w:val="32"/>
        </w:rPr>
        <w:t>在长寿区人民政府统一领导下，成立</w:t>
      </w:r>
      <w:r>
        <w:rPr>
          <w:rFonts w:hint="eastAsia"/>
          <w:szCs w:val="32"/>
        </w:rPr>
        <w:t>长寿区</w:t>
      </w:r>
      <w:r>
        <w:rPr>
          <w:szCs w:val="32"/>
        </w:rPr>
        <w:t>重污染天气应急指挥部，负责长寿区重污染天气应急处置工作的组织领导</w:t>
      </w:r>
      <w:r>
        <w:rPr>
          <w:rFonts w:hint="eastAsia"/>
          <w:kern w:val="0"/>
          <w:szCs w:val="32"/>
        </w:rPr>
        <w:t>和指挥协调</w:t>
      </w:r>
      <w:r>
        <w:rPr>
          <w:szCs w:val="32"/>
        </w:rPr>
        <w:t>。区重污染天气应急指挥部实行指挥长负责制，由区政府分管副区长担任指挥长，区政府办公室有关副主任、区</w:t>
      </w:r>
      <w:r>
        <w:rPr>
          <w:rFonts w:hint="eastAsia"/>
          <w:szCs w:val="32"/>
        </w:rPr>
        <w:t>生态环境</w:t>
      </w:r>
      <w:r>
        <w:rPr>
          <w:szCs w:val="32"/>
        </w:rPr>
        <w:t>局主要负责人任副指挥长，统一领导和组织红色、橙色预警空气重污染天气应对工作。</w:t>
      </w:r>
    </w:p>
    <w:p>
      <w:pPr>
        <w:spacing w:line="560" w:lineRule="exact"/>
        <w:ind w:firstLine="640" w:firstLineChars="200"/>
        <w:rPr>
          <w:szCs w:val="32"/>
        </w:rPr>
      </w:pPr>
      <w:r>
        <w:rPr>
          <w:rFonts w:hint="eastAsia"/>
          <w:kern w:val="0"/>
          <w:szCs w:val="32"/>
        </w:rPr>
        <w:t>区指挥部成员单位包括区委宣传部、区委</w:t>
      </w:r>
      <w:r>
        <w:rPr>
          <w:kern w:val="0"/>
          <w:szCs w:val="32"/>
        </w:rPr>
        <w:t>网信办</w:t>
      </w:r>
      <w:r>
        <w:rPr>
          <w:rFonts w:hint="eastAsia"/>
          <w:kern w:val="0"/>
          <w:szCs w:val="32"/>
        </w:rPr>
        <w:t>、区</w:t>
      </w:r>
      <w:r>
        <w:rPr>
          <w:kern w:val="0"/>
          <w:szCs w:val="32"/>
        </w:rPr>
        <w:t>财政局</w:t>
      </w:r>
      <w:r>
        <w:rPr>
          <w:rFonts w:hint="eastAsia"/>
          <w:kern w:val="0"/>
          <w:szCs w:val="32"/>
        </w:rPr>
        <w:t>、区</w:t>
      </w:r>
      <w:r>
        <w:rPr>
          <w:kern w:val="0"/>
          <w:szCs w:val="32"/>
        </w:rPr>
        <w:t>经济信息委</w:t>
      </w:r>
      <w:r>
        <w:rPr>
          <w:rFonts w:hint="eastAsia"/>
          <w:kern w:val="0"/>
          <w:szCs w:val="32"/>
        </w:rPr>
        <w:t>、区</w:t>
      </w:r>
      <w:r>
        <w:rPr>
          <w:kern w:val="0"/>
          <w:szCs w:val="32"/>
        </w:rPr>
        <w:t>教委</w:t>
      </w:r>
      <w:r>
        <w:rPr>
          <w:rFonts w:hint="eastAsia"/>
          <w:kern w:val="0"/>
          <w:szCs w:val="32"/>
        </w:rPr>
        <w:t>、区</w:t>
      </w:r>
      <w:r>
        <w:rPr>
          <w:kern w:val="0"/>
          <w:szCs w:val="32"/>
        </w:rPr>
        <w:t>住房城乡建委</w:t>
      </w:r>
      <w:r>
        <w:rPr>
          <w:rFonts w:hint="eastAsia"/>
          <w:kern w:val="0"/>
          <w:szCs w:val="32"/>
        </w:rPr>
        <w:t>、区</w:t>
      </w:r>
      <w:r>
        <w:rPr>
          <w:kern w:val="0"/>
          <w:szCs w:val="32"/>
        </w:rPr>
        <w:t>交通局</w:t>
      </w:r>
      <w:r>
        <w:rPr>
          <w:rFonts w:hint="eastAsia"/>
          <w:kern w:val="0"/>
          <w:szCs w:val="32"/>
        </w:rPr>
        <w:t>、区</w:t>
      </w:r>
      <w:r>
        <w:rPr>
          <w:kern w:val="0"/>
          <w:szCs w:val="32"/>
        </w:rPr>
        <w:t>农业农村委</w:t>
      </w:r>
      <w:r>
        <w:rPr>
          <w:rFonts w:hint="eastAsia"/>
          <w:kern w:val="0"/>
          <w:szCs w:val="32"/>
        </w:rPr>
        <w:t>、区</w:t>
      </w:r>
      <w:r>
        <w:rPr>
          <w:kern w:val="0"/>
          <w:szCs w:val="32"/>
        </w:rPr>
        <w:t>公安局</w:t>
      </w:r>
      <w:r>
        <w:rPr>
          <w:rFonts w:hint="eastAsia"/>
          <w:kern w:val="0"/>
          <w:szCs w:val="32"/>
        </w:rPr>
        <w:t>、区</w:t>
      </w:r>
      <w:r>
        <w:rPr>
          <w:kern w:val="0"/>
          <w:szCs w:val="32"/>
        </w:rPr>
        <w:t>生态环境局</w:t>
      </w:r>
      <w:r>
        <w:rPr>
          <w:rFonts w:hint="eastAsia"/>
          <w:kern w:val="0"/>
          <w:szCs w:val="32"/>
        </w:rPr>
        <w:t>、区</w:t>
      </w:r>
      <w:r>
        <w:rPr>
          <w:kern w:val="0"/>
          <w:szCs w:val="32"/>
        </w:rPr>
        <w:t>城市管理局</w:t>
      </w:r>
      <w:r>
        <w:rPr>
          <w:rFonts w:hint="eastAsia"/>
          <w:kern w:val="0"/>
          <w:szCs w:val="32"/>
        </w:rPr>
        <w:t>、区</w:t>
      </w:r>
      <w:r>
        <w:rPr>
          <w:kern w:val="0"/>
          <w:szCs w:val="32"/>
        </w:rPr>
        <w:t>文化旅游委</w:t>
      </w:r>
      <w:r>
        <w:rPr>
          <w:rFonts w:hint="eastAsia"/>
          <w:kern w:val="0"/>
          <w:szCs w:val="32"/>
        </w:rPr>
        <w:t>、区</w:t>
      </w:r>
      <w:r>
        <w:rPr>
          <w:kern w:val="0"/>
          <w:szCs w:val="32"/>
        </w:rPr>
        <w:t>卫生健康委</w:t>
      </w:r>
      <w:r>
        <w:rPr>
          <w:rFonts w:hint="eastAsia"/>
          <w:kern w:val="0"/>
          <w:szCs w:val="32"/>
        </w:rPr>
        <w:t>、区</w:t>
      </w:r>
      <w:r>
        <w:rPr>
          <w:kern w:val="0"/>
          <w:szCs w:val="32"/>
        </w:rPr>
        <w:t>应急局</w:t>
      </w:r>
      <w:r>
        <w:rPr>
          <w:rFonts w:hint="eastAsia"/>
          <w:kern w:val="0"/>
          <w:szCs w:val="32"/>
        </w:rPr>
        <w:t>、区</w:t>
      </w:r>
      <w:r>
        <w:rPr>
          <w:kern w:val="0"/>
          <w:szCs w:val="32"/>
        </w:rPr>
        <w:t>国资委</w:t>
      </w:r>
      <w:r>
        <w:rPr>
          <w:rFonts w:hint="eastAsia"/>
          <w:kern w:val="0"/>
          <w:szCs w:val="32"/>
        </w:rPr>
        <w:t>、区</w:t>
      </w:r>
      <w:r>
        <w:rPr>
          <w:kern w:val="0"/>
          <w:szCs w:val="32"/>
        </w:rPr>
        <w:t>市场监管局</w:t>
      </w:r>
      <w:r>
        <w:rPr>
          <w:rFonts w:hint="eastAsia"/>
          <w:kern w:val="0"/>
          <w:szCs w:val="32"/>
        </w:rPr>
        <w:t>、区</w:t>
      </w:r>
      <w:r>
        <w:rPr>
          <w:kern w:val="0"/>
          <w:szCs w:val="32"/>
        </w:rPr>
        <w:t>气象局</w:t>
      </w:r>
      <w:r>
        <w:rPr>
          <w:rFonts w:hint="eastAsia"/>
          <w:kern w:val="0"/>
          <w:szCs w:val="32"/>
        </w:rPr>
        <w:t>等，各单位职责见附件1。</w:t>
      </w:r>
    </w:p>
    <w:p>
      <w:pPr>
        <w:spacing w:line="594" w:lineRule="exact"/>
        <w:ind w:firstLine="640"/>
        <w:rPr>
          <w:szCs w:val="32"/>
        </w:rPr>
      </w:pPr>
      <w:r>
        <w:rPr>
          <w:rFonts w:hint="eastAsia"/>
          <w:kern w:val="0"/>
          <w:szCs w:val="32"/>
        </w:rPr>
        <w:t>区</w:t>
      </w:r>
      <w:r>
        <w:rPr>
          <w:kern w:val="0"/>
          <w:szCs w:val="32"/>
        </w:rPr>
        <w:t>指挥部办公室设在</w:t>
      </w:r>
      <w:r>
        <w:rPr>
          <w:rFonts w:hint="eastAsia"/>
          <w:kern w:val="0"/>
          <w:szCs w:val="32"/>
        </w:rPr>
        <w:t>区</w:t>
      </w:r>
      <w:r>
        <w:rPr>
          <w:kern w:val="0"/>
          <w:szCs w:val="32"/>
        </w:rPr>
        <w:t>生态环境局，承担</w:t>
      </w:r>
      <w:r>
        <w:rPr>
          <w:rFonts w:hint="eastAsia"/>
          <w:kern w:val="0"/>
          <w:szCs w:val="32"/>
        </w:rPr>
        <w:t>区</w:t>
      </w:r>
      <w:r>
        <w:rPr>
          <w:kern w:val="0"/>
          <w:szCs w:val="32"/>
        </w:rPr>
        <w:t>指挥部日常工作，由</w:t>
      </w:r>
      <w:r>
        <w:rPr>
          <w:rFonts w:hint="eastAsia"/>
          <w:kern w:val="0"/>
          <w:szCs w:val="32"/>
        </w:rPr>
        <w:t>区</w:t>
      </w:r>
      <w:r>
        <w:rPr>
          <w:kern w:val="0"/>
          <w:szCs w:val="32"/>
        </w:rPr>
        <w:t>生态环境局主要负责人兼任办公室主任</w:t>
      </w:r>
      <w:r>
        <w:rPr>
          <w:rFonts w:hint="eastAsia"/>
          <w:kern w:val="0"/>
          <w:szCs w:val="32"/>
        </w:rPr>
        <w:t>，由区</w:t>
      </w:r>
      <w:r>
        <w:rPr>
          <w:kern w:val="0"/>
          <w:szCs w:val="32"/>
        </w:rPr>
        <w:t>公安局、</w:t>
      </w:r>
      <w:r>
        <w:rPr>
          <w:rFonts w:hint="eastAsia"/>
          <w:kern w:val="0"/>
          <w:szCs w:val="32"/>
        </w:rPr>
        <w:t>区</w:t>
      </w:r>
      <w:r>
        <w:rPr>
          <w:kern w:val="0"/>
          <w:szCs w:val="32"/>
        </w:rPr>
        <w:t>经济信息委、</w:t>
      </w:r>
      <w:r>
        <w:rPr>
          <w:rFonts w:hint="eastAsia"/>
          <w:kern w:val="0"/>
          <w:szCs w:val="32"/>
        </w:rPr>
        <w:t>区</w:t>
      </w:r>
      <w:r>
        <w:rPr>
          <w:kern w:val="0"/>
          <w:szCs w:val="32"/>
        </w:rPr>
        <w:t>住房城乡建委、</w:t>
      </w:r>
      <w:r>
        <w:rPr>
          <w:rFonts w:hint="eastAsia"/>
          <w:kern w:val="0"/>
          <w:szCs w:val="32"/>
        </w:rPr>
        <w:t>区</w:t>
      </w:r>
      <w:r>
        <w:rPr>
          <w:kern w:val="0"/>
          <w:szCs w:val="32"/>
        </w:rPr>
        <w:t>生态环境局、</w:t>
      </w:r>
      <w:r>
        <w:rPr>
          <w:rFonts w:hint="eastAsia"/>
          <w:kern w:val="0"/>
          <w:szCs w:val="32"/>
        </w:rPr>
        <w:t>区</w:t>
      </w:r>
      <w:r>
        <w:rPr>
          <w:kern w:val="0"/>
          <w:szCs w:val="32"/>
        </w:rPr>
        <w:t>交通局</w:t>
      </w:r>
      <w:r>
        <w:rPr>
          <w:rFonts w:hint="eastAsia"/>
          <w:kern w:val="0"/>
          <w:szCs w:val="32"/>
        </w:rPr>
        <w:t>、区</w:t>
      </w:r>
      <w:r>
        <w:rPr>
          <w:kern w:val="0"/>
          <w:szCs w:val="32"/>
        </w:rPr>
        <w:t>城市管理局</w:t>
      </w:r>
      <w:r>
        <w:rPr>
          <w:rFonts w:hint="eastAsia"/>
        </w:rPr>
        <w:t>分</w:t>
      </w:r>
      <w:r>
        <w:rPr>
          <w:rFonts w:hint="eastAsia"/>
          <w:kern w:val="0"/>
          <w:szCs w:val="32"/>
        </w:rPr>
        <w:t>管负责同志兼任办公室副主任</w:t>
      </w:r>
      <w:r>
        <w:rPr>
          <w:kern w:val="0"/>
          <w:szCs w:val="32"/>
        </w:rPr>
        <w:t>。</w:t>
      </w:r>
    </w:p>
    <w:p>
      <w:pPr>
        <w:pStyle w:val="2"/>
        <w:ind w:firstLine="640"/>
      </w:pPr>
      <w:r>
        <w:t>3 监测与预警</w:t>
      </w:r>
      <w:bookmarkEnd w:id="39"/>
      <w:bookmarkEnd w:id="40"/>
      <w:bookmarkEnd w:id="41"/>
      <w:bookmarkEnd w:id="42"/>
      <w:bookmarkEnd w:id="43"/>
      <w:bookmarkEnd w:id="44"/>
    </w:p>
    <w:p>
      <w:pPr>
        <w:pStyle w:val="3"/>
        <w:ind w:firstLine="640"/>
      </w:pPr>
      <w:bookmarkStart w:id="45" w:name="_Toc89243573"/>
      <w:bookmarkStart w:id="46" w:name="_Toc31345"/>
      <w:bookmarkStart w:id="47" w:name="_Toc25551"/>
      <w:bookmarkStart w:id="48" w:name="_Toc101966211"/>
      <w:bookmarkStart w:id="49" w:name="_Toc95922307"/>
      <w:bookmarkStart w:id="50" w:name="_Toc90560910"/>
      <w:r>
        <w:t>3.1监测</w:t>
      </w:r>
      <w:bookmarkEnd w:id="45"/>
      <w:bookmarkEnd w:id="46"/>
      <w:bookmarkEnd w:id="47"/>
      <w:bookmarkEnd w:id="48"/>
      <w:bookmarkEnd w:id="49"/>
      <w:bookmarkEnd w:id="50"/>
    </w:p>
    <w:p>
      <w:pPr>
        <w:spacing w:line="594" w:lineRule="exact"/>
        <w:ind w:firstLine="640"/>
        <w:rPr>
          <w:kern w:val="0"/>
          <w:szCs w:val="32"/>
        </w:rPr>
      </w:pPr>
      <w:bookmarkStart w:id="51" w:name="_Toc95922308"/>
      <w:r>
        <w:rPr>
          <w:kern w:val="0"/>
          <w:szCs w:val="32"/>
        </w:rPr>
        <w:t>3.1.1监测</w:t>
      </w:r>
      <w:bookmarkEnd w:id="51"/>
    </w:p>
    <w:p>
      <w:pPr>
        <w:spacing w:line="594" w:lineRule="exact"/>
        <w:ind w:firstLine="640"/>
        <w:rPr>
          <w:kern w:val="0"/>
          <w:szCs w:val="32"/>
        </w:rPr>
      </w:pPr>
      <w:r>
        <w:rPr>
          <w:kern w:val="0"/>
          <w:szCs w:val="32"/>
        </w:rPr>
        <w:t>生态环境、气象部门加强信息资源共享，严格按照要求开展空气质量和气象条件日常监测</w:t>
      </w:r>
      <w:r>
        <w:rPr>
          <w:rFonts w:hint="eastAsia"/>
          <w:kern w:val="0"/>
          <w:szCs w:val="32"/>
        </w:rPr>
        <w:t>。</w:t>
      </w:r>
      <w:r>
        <w:rPr>
          <w:kern w:val="0"/>
          <w:szCs w:val="32"/>
        </w:rPr>
        <w:t>视情况增加高空和移动监测手段，开展高空污染物和高空环境气象要素监测以及重点区域移动车载式连续监测。做好数据收集处理、环境空气质量现状评价以及趋势预测工作。</w:t>
      </w:r>
      <w:bookmarkStart w:id="52" w:name="_Toc89243574"/>
      <w:bookmarkStart w:id="53" w:name="_Toc19260"/>
      <w:bookmarkStart w:id="54" w:name="_Toc21385"/>
    </w:p>
    <w:p>
      <w:pPr>
        <w:spacing w:line="594" w:lineRule="exact"/>
        <w:ind w:firstLine="640"/>
        <w:rPr>
          <w:kern w:val="0"/>
          <w:szCs w:val="32"/>
        </w:rPr>
      </w:pPr>
      <w:bookmarkStart w:id="55" w:name="_Toc95922309"/>
      <w:r>
        <w:rPr>
          <w:kern w:val="0"/>
          <w:szCs w:val="32"/>
        </w:rPr>
        <w:t>3.1.2</w:t>
      </w:r>
      <w:bookmarkEnd w:id="52"/>
      <w:bookmarkEnd w:id="53"/>
      <w:r>
        <w:rPr>
          <w:kern w:val="0"/>
          <w:szCs w:val="32"/>
        </w:rPr>
        <w:t>会商</w:t>
      </w:r>
      <w:bookmarkEnd w:id="55"/>
    </w:p>
    <w:p>
      <w:pPr>
        <w:spacing w:line="594" w:lineRule="exact"/>
        <w:ind w:firstLine="640"/>
        <w:rPr>
          <w:kern w:val="0"/>
          <w:szCs w:val="32"/>
        </w:rPr>
      </w:pPr>
      <w:r>
        <w:rPr>
          <w:kern w:val="0"/>
          <w:szCs w:val="32"/>
        </w:rPr>
        <w:t>成立常态化重污染天气</w:t>
      </w:r>
      <w:r>
        <w:rPr>
          <w:rFonts w:hint="eastAsia"/>
          <w:kern w:val="0"/>
          <w:szCs w:val="32"/>
        </w:rPr>
        <w:t>预警和中长期空气质量</w:t>
      </w:r>
      <w:r>
        <w:rPr>
          <w:kern w:val="0"/>
          <w:szCs w:val="32"/>
        </w:rPr>
        <w:t>会商专家组，建立预警专家会商制度，充实有关科研机构、</w:t>
      </w:r>
      <w:r>
        <w:rPr>
          <w:rFonts w:hint="eastAsia"/>
          <w:kern w:val="0"/>
          <w:szCs w:val="32"/>
        </w:rPr>
        <w:t>气象</w:t>
      </w:r>
      <w:r>
        <w:rPr>
          <w:kern w:val="0"/>
          <w:szCs w:val="32"/>
        </w:rPr>
        <w:t>气候、环境监测等方面的专业力量，及时开展科学研判、动态会商，不断提高预警科学性、精准性、时效性。发生区域性重污染天气时，加强与西南区域空气质量预测预报中心的信息共享、会商研判，及时启动区域应急联动。</w:t>
      </w:r>
      <w:r>
        <w:rPr>
          <w:rFonts w:hint="eastAsia"/>
          <w:kern w:val="0"/>
          <w:szCs w:val="32"/>
        </w:rPr>
        <w:t>区</w:t>
      </w:r>
      <w:r>
        <w:rPr>
          <w:kern w:val="0"/>
          <w:szCs w:val="32"/>
        </w:rPr>
        <w:t>指挥部相关领导根据实际情况组织或参加会商。</w:t>
      </w:r>
    </w:p>
    <w:bookmarkEnd w:id="54"/>
    <w:p>
      <w:pPr>
        <w:pStyle w:val="3"/>
        <w:ind w:firstLine="640"/>
      </w:pPr>
      <w:bookmarkStart w:id="56" w:name="_Toc29010"/>
      <w:bookmarkStart w:id="57" w:name="_Toc90560911"/>
      <w:bookmarkStart w:id="58" w:name="_Toc11987"/>
      <w:bookmarkStart w:id="59" w:name="_Toc89243575"/>
      <w:bookmarkStart w:id="60" w:name="_Toc101966212"/>
      <w:bookmarkStart w:id="61" w:name="_Toc95922310"/>
      <w:r>
        <w:t>3.2预警</w:t>
      </w:r>
      <w:bookmarkEnd w:id="56"/>
      <w:bookmarkEnd w:id="57"/>
      <w:bookmarkEnd w:id="58"/>
      <w:bookmarkEnd w:id="59"/>
      <w:bookmarkEnd w:id="60"/>
      <w:bookmarkEnd w:id="61"/>
    </w:p>
    <w:p>
      <w:pPr>
        <w:spacing w:line="594" w:lineRule="exact"/>
        <w:ind w:firstLine="640"/>
        <w:rPr>
          <w:kern w:val="0"/>
          <w:szCs w:val="32"/>
        </w:rPr>
      </w:pPr>
      <w:bookmarkStart w:id="62" w:name="_Toc89329328"/>
      <w:bookmarkStart w:id="63" w:name="_Toc89243577"/>
      <w:bookmarkStart w:id="64" w:name="_Toc95922312"/>
      <w:bookmarkStart w:id="65" w:name="_Toc11718"/>
      <w:bookmarkStart w:id="66" w:name="_Toc9113"/>
      <w:r>
        <w:rPr>
          <w:kern w:val="0"/>
          <w:szCs w:val="32"/>
        </w:rPr>
        <w:t>3.2.1预警分级</w:t>
      </w:r>
      <w:bookmarkEnd w:id="62"/>
      <w:bookmarkEnd w:id="63"/>
      <w:bookmarkEnd w:id="64"/>
    </w:p>
    <w:bookmarkEnd w:id="65"/>
    <w:bookmarkEnd w:id="66"/>
    <w:p>
      <w:pPr>
        <w:spacing w:line="594" w:lineRule="exact"/>
        <w:ind w:firstLine="640"/>
        <w:rPr>
          <w:kern w:val="0"/>
          <w:szCs w:val="32"/>
        </w:rPr>
      </w:pPr>
      <w:r>
        <w:rPr>
          <w:kern w:val="0"/>
          <w:szCs w:val="32"/>
        </w:rPr>
        <w:t>按照重污染天气的发展趋势和可能造成影响的严重程度，将预警级别划分为三个等级，由低到高顺序依次为黄色预警、橙色预警、红色预警：</w:t>
      </w:r>
    </w:p>
    <w:p>
      <w:pPr>
        <w:spacing w:line="594" w:lineRule="exact"/>
        <w:ind w:firstLine="640"/>
        <w:rPr>
          <w:kern w:val="0"/>
          <w:szCs w:val="32"/>
        </w:rPr>
      </w:pPr>
      <w:r>
        <w:rPr>
          <w:kern w:val="0"/>
          <w:szCs w:val="32"/>
        </w:rPr>
        <w:t>（1）黄色预警：预测AQI日均值&gt;200（或细颗粒物浓度&gt;115微克每立方米）持续2天（48小时）及以上，或</w:t>
      </w:r>
      <w:r>
        <w:rPr>
          <w:rFonts w:hint="eastAsia"/>
          <w:kern w:val="0"/>
          <w:szCs w:val="32"/>
        </w:rPr>
        <w:t>臭氧</w:t>
      </w:r>
      <w:r>
        <w:rPr>
          <w:kern w:val="0"/>
          <w:szCs w:val="32"/>
        </w:rPr>
        <w:t>日最大8小时浓度&gt;215微克每立方米持续2天及以上，且预测有短时重度污染，</w:t>
      </w:r>
      <w:r>
        <w:rPr>
          <w:rFonts w:hint="eastAsia"/>
          <w:kern w:val="0"/>
          <w:szCs w:val="32"/>
        </w:rPr>
        <w:t>且</w:t>
      </w:r>
      <w:r>
        <w:rPr>
          <w:kern w:val="0"/>
          <w:szCs w:val="32"/>
        </w:rPr>
        <w:t>未达到高级别预警条件。</w:t>
      </w:r>
    </w:p>
    <w:p>
      <w:pPr>
        <w:spacing w:line="594" w:lineRule="exact"/>
        <w:ind w:firstLine="640"/>
        <w:rPr>
          <w:kern w:val="0"/>
          <w:szCs w:val="32"/>
        </w:rPr>
      </w:pPr>
      <w:r>
        <w:rPr>
          <w:kern w:val="0"/>
          <w:szCs w:val="32"/>
        </w:rPr>
        <w:t>（2）橙色预警：预测AQI日均值&gt;200持续3天（72小时）及以上，或预测细颗粒物浓度&gt;115微克每立方米持续3天（72小时）及以上且细颗粒物浓度&gt;150微克每立方米持续1天（24小时）及以上，或</w:t>
      </w:r>
      <w:r>
        <w:rPr>
          <w:rFonts w:hint="eastAsia"/>
          <w:kern w:val="0"/>
          <w:szCs w:val="32"/>
        </w:rPr>
        <w:t>臭氧</w:t>
      </w:r>
      <w:r>
        <w:rPr>
          <w:kern w:val="0"/>
          <w:szCs w:val="32"/>
        </w:rPr>
        <w:t>日最大8小时浓度&gt;215微克每立方米持续3天及以上且</w:t>
      </w:r>
      <w:r>
        <w:rPr>
          <w:rFonts w:hint="eastAsia"/>
          <w:kern w:val="0"/>
          <w:szCs w:val="32"/>
        </w:rPr>
        <w:t>臭氧</w:t>
      </w:r>
      <w:r>
        <w:rPr>
          <w:kern w:val="0"/>
          <w:szCs w:val="32"/>
        </w:rPr>
        <w:t>日最大8小时浓度&gt;265微克每立方米持续1天及以上，且未达到高级别预警条件。</w:t>
      </w:r>
    </w:p>
    <w:p>
      <w:pPr>
        <w:spacing w:line="594" w:lineRule="exact"/>
        <w:ind w:firstLine="640"/>
        <w:rPr>
          <w:kern w:val="0"/>
          <w:szCs w:val="32"/>
        </w:rPr>
      </w:pPr>
      <w:r>
        <w:rPr>
          <w:kern w:val="0"/>
          <w:szCs w:val="32"/>
        </w:rPr>
        <w:t>（3）红色预警：预测AQI日均值&gt;200持续3天（72小时）及以上，且预测AQI日均值&gt;300持续1天（24小时）及以上；或预测AQI日均值达到500。</w:t>
      </w:r>
    </w:p>
    <w:p>
      <w:pPr>
        <w:spacing w:line="594" w:lineRule="exact"/>
        <w:ind w:firstLine="640"/>
        <w:rPr>
          <w:kern w:val="0"/>
          <w:szCs w:val="32"/>
        </w:rPr>
      </w:pPr>
      <w:bookmarkStart w:id="67" w:name="_Toc95922311"/>
      <w:bookmarkStart w:id="68" w:name="_Toc89329327"/>
      <w:bookmarkStart w:id="69" w:name="_Toc89243576"/>
      <w:bookmarkStart w:id="70" w:name="_Toc1904"/>
      <w:bookmarkStart w:id="71" w:name="_Toc29738"/>
      <w:bookmarkStart w:id="72" w:name="_Toc95922313"/>
      <w:bookmarkStart w:id="73" w:name="_Toc89243578"/>
      <w:bookmarkStart w:id="74" w:name="_Toc89329329"/>
      <w:bookmarkStart w:id="75" w:name="_Toc27855"/>
      <w:bookmarkStart w:id="76" w:name="_Toc5690"/>
      <w:r>
        <w:rPr>
          <w:kern w:val="0"/>
          <w:szCs w:val="32"/>
        </w:rPr>
        <w:t>3.2.2</w:t>
      </w:r>
      <w:bookmarkEnd w:id="67"/>
      <w:bookmarkEnd w:id="68"/>
      <w:bookmarkEnd w:id="69"/>
      <w:r>
        <w:rPr>
          <w:rFonts w:hint="eastAsia"/>
          <w:kern w:val="0"/>
          <w:szCs w:val="32"/>
        </w:rPr>
        <w:t>预警条件</w:t>
      </w:r>
    </w:p>
    <w:bookmarkEnd w:id="70"/>
    <w:bookmarkEnd w:id="71"/>
    <w:p>
      <w:pPr>
        <w:spacing w:line="594" w:lineRule="exact"/>
        <w:ind w:firstLine="640"/>
        <w:rPr>
          <w:kern w:val="0"/>
          <w:szCs w:val="32"/>
        </w:rPr>
      </w:pPr>
      <w:r>
        <w:rPr>
          <w:kern w:val="0"/>
          <w:szCs w:val="32"/>
        </w:rPr>
        <w:t>接到生态环境部、西南区域空气质量预测预报中心或市指挥部办公室预警提示信息时，应当结合本地实际及时</w:t>
      </w:r>
      <w:r>
        <w:rPr>
          <w:rFonts w:hint="eastAsia"/>
          <w:kern w:val="0"/>
          <w:szCs w:val="32"/>
        </w:rPr>
        <w:t>启动不低于预警提示信息预警等级的</w:t>
      </w:r>
      <w:r>
        <w:rPr>
          <w:kern w:val="0"/>
          <w:szCs w:val="32"/>
        </w:rPr>
        <w:t>预警，同时报市指挥部办公室备案。当启动橙色及以上预警时，还应抄送全市其他区县。</w:t>
      </w:r>
    </w:p>
    <w:p>
      <w:pPr>
        <w:spacing w:line="594" w:lineRule="exact"/>
        <w:ind w:firstLine="640"/>
        <w:rPr>
          <w:kern w:val="0"/>
          <w:szCs w:val="32"/>
        </w:rPr>
      </w:pPr>
      <w:r>
        <w:rPr>
          <w:rFonts w:hint="eastAsia"/>
          <w:kern w:val="0"/>
          <w:szCs w:val="32"/>
        </w:rPr>
        <w:t>应加强与四川省</w:t>
      </w:r>
      <w:r>
        <w:rPr>
          <w:rFonts w:hint="eastAsia"/>
          <w:kern w:val="0"/>
          <w:szCs w:val="32"/>
          <w:lang w:eastAsia="zh-CN"/>
        </w:rPr>
        <w:t>广安市</w:t>
      </w:r>
      <w:r>
        <w:rPr>
          <w:rFonts w:hint="eastAsia"/>
          <w:kern w:val="0"/>
          <w:szCs w:val="32"/>
        </w:rPr>
        <w:t>毗邻地区的信息共享、会商研判，建立两地联合会商机制，根据会商结果启动相应级别预警，并报市指挥部办公室备案。</w:t>
      </w:r>
    </w:p>
    <w:p>
      <w:pPr>
        <w:spacing w:line="594" w:lineRule="exact"/>
        <w:ind w:firstLine="640"/>
        <w:rPr>
          <w:kern w:val="0"/>
          <w:szCs w:val="32"/>
        </w:rPr>
      </w:pPr>
      <w:r>
        <w:rPr>
          <w:kern w:val="0"/>
          <w:szCs w:val="32"/>
        </w:rPr>
        <w:t>3.2.3预警信息发布</w:t>
      </w:r>
      <w:bookmarkEnd w:id="72"/>
      <w:bookmarkEnd w:id="73"/>
      <w:bookmarkEnd w:id="74"/>
    </w:p>
    <w:bookmarkEnd w:id="75"/>
    <w:bookmarkEnd w:id="76"/>
    <w:p>
      <w:pPr>
        <w:spacing w:line="594" w:lineRule="exact"/>
        <w:ind w:firstLine="640"/>
        <w:rPr>
          <w:kern w:val="0"/>
          <w:szCs w:val="32"/>
        </w:rPr>
      </w:pPr>
      <w:r>
        <w:rPr>
          <w:kern w:val="0"/>
          <w:szCs w:val="32"/>
        </w:rPr>
        <w:t>重污染天气预警信息</w:t>
      </w:r>
      <w:r>
        <w:rPr>
          <w:rFonts w:hint="eastAsia"/>
          <w:kern w:val="0"/>
          <w:szCs w:val="32"/>
        </w:rPr>
        <w:t>应</w:t>
      </w:r>
      <w:r>
        <w:rPr>
          <w:kern w:val="0"/>
          <w:szCs w:val="32"/>
        </w:rPr>
        <w:t>提前24小时以上发布，若遇特殊气象条件未能提前发布，判断满足预警条件可立即发布预警启动信息。</w:t>
      </w:r>
    </w:p>
    <w:p>
      <w:pPr>
        <w:numPr>
          <w:ilvl w:val="0"/>
          <w:numId w:val="1"/>
        </w:numPr>
        <w:spacing w:line="594" w:lineRule="exact"/>
        <w:ind w:firstLine="640"/>
        <w:rPr>
          <w:kern w:val="0"/>
          <w:szCs w:val="32"/>
        </w:rPr>
      </w:pPr>
      <w:r>
        <w:rPr>
          <w:rFonts w:hint="eastAsia"/>
          <w:kern w:val="0"/>
          <w:szCs w:val="32"/>
        </w:rPr>
        <w:t>发布权限</w:t>
      </w:r>
      <w:r>
        <w:rPr>
          <w:kern w:val="0"/>
          <w:szCs w:val="32"/>
        </w:rPr>
        <w:t>。</w:t>
      </w:r>
      <w:r>
        <w:rPr>
          <w:rFonts w:hint="eastAsia"/>
          <w:kern w:val="0"/>
          <w:szCs w:val="32"/>
        </w:rPr>
        <w:t>发布区域</w:t>
      </w:r>
      <w:r>
        <w:rPr>
          <w:kern w:val="0"/>
          <w:szCs w:val="32"/>
        </w:rPr>
        <w:t>黄色</w:t>
      </w:r>
      <w:r>
        <w:rPr>
          <w:rFonts w:hint="eastAsia"/>
          <w:kern w:val="0"/>
          <w:szCs w:val="32"/>
        </w:rPr>
        <w:t>预警</w:t>
      </w:r>
      <w:r>
        <w:rPr>
          <w:kern w:val="0"/>
          <w:szCs w:val="32"/>
        </w:rPr>
        <w:t>，由</w:t>
      </w:r>
      <w:r>
        <w:rPr>
          <w:rFonts w:hint="eastAsia"/>
          <w:kern w:val="0"/>
          <w:szCs w:val="32"/>
        </w:rPr>
        <w:t>区</w:t>
      </w:r>
      <w:r>
        <w:rPr>
          <w:kern w:val="0"/>
          <w:szCs w:val="32"/>
        </w:rPr>
        <w:t>指挥部办公室</w:t>
      </w:r>
      <w:r>
        <w:rPr>
          <w:rFonts w:hint="eastAsia"/>
          <w:kern w:val="0"/>
          <w:szCs w:val="32"/>
        </w:rPr>
        <w:t>主任审批</w:t>
      </w:r>
      <w:r>
        <w:rPr>
          <w:kern w:val="0"/>
          <w:szCs w:val="32"/>
        </w:rPr>
        <w:t>，</w:t>
      </w:r>
      <w:r>
        <w:rPr>
          <w:rFonts w:hint="eastAsia"/>
          <w:kern w:val="0"/>
          <w:szCs w:val="32"/>
        </w:rPr>
        <w:t>并</w:t>
      </w:r>
      <w:r>
        <w:rPr>
          <w:kern w:val="0"/>
          <w:szCs w:val="32"/>
        </w:rPr>
        <w:t>报</w:t>
      </w:r>
      <w:r>
        <w:rPr>
          <w:rFonts w:hint="eastAsia"/>
          <w:kern w:val="0"/>
          <w:szCs w:val="32"/>
        </w:rPr>
        <w:t>区</w:t>
      </w:r>
      <w:r>
        <w:rPr>
          <w:kern w:val="0"/>
          <w:szCs w:val="32"/>
        </w:rPr>
        <w:t>政府备案</w:t>
      </w:r>
      <w:r>
        <w:rPr>
          <w:rFonts w:hint="eastAsia"/>
          <w:kern w:val="0"/>
          <w:szCs w:val="32"/>
        </w:rPr>
        <w:t>，由区</w:t>
      </w:r>
      <w:r>
        <w:rPr>
          <w:kern w:val="0"/>
          <w:szCs w:val="32"/>
        </w:rPr>
        <w:t>指挥部办公室</w:t>
      </w:r>
      <w:r>
        <w:rPr>
          <w:rFonts w:hint="eastAsia"/>
          <w:kern w:val="0"/>
          <w:szCs w:val="32"/>
        </w:rPr>
        <w:t>发布。发布区域</w:t>
      </w:r>
      <w:r>
        <w:rPr>
          <w:kern w:val="0"/>
          <w:szCs w:val="32"/>
        </w:rPr>
        <w:t>橙色</w:t>
      </w:r>
      <w:r>
        <w:rPr>
          <w:rFonts w:hint="eastAsia"/>
          <w:kern w:val="0"/>
          <w:szCs w:val="32"/>
        </w:rPr>
        <w:t>、红色</w:t>
      </w:r>
      <w:r>
        <w:rPr>
          <w:kern w:val="0"/>
          <w:szCs w:val="32"/>
        </w:rPr>
        <w:t>预警</w:t>
      </w:r>
      <w:r>
        <w:rPr>
          <w:rFonts w:hint="eastAsia"/>
          <w:kern w:val="0"/>
          <w:szCs w:val="32"/>
        </w:rPr>
        <w:t>，</w:t>
      </w:r>
      <w:r>
        <w:rPr>
          <w:kern w:val="0"/>
          <w:szCs w:val="32"/>
        </w:rPr>
        <w:t>由</w:t>
      </w:r>
      <w:r>
        <w:rPr>
          <w:rFonts w:hint="eastAsia"/>
          <w:kern w:val="0"/>
          <w:szCs w:val="32"/>
        </w:rPr>
        <w:t>区</w:t>
      </w:r>
      <w:r>
        <w:rPr>
          <w:kern w:val="0"/>
          <w:szCs w:val="32"/>
        </w:rPr>
        <w:t>指挥部办公室提出预警建议，报</w:t>
      </w:r>
      <w:r>
        <w:rPr>
          <w:rFonts w:hint="eastAsia"/>
          <w:kern w:val="0"/>
          <w:szCs w:val="32"/>
        </w:rPr>
        <w:t>区</w:t>
      </w:r>
      <w:r>
        <w:rPr>
          <w:kern w:val="0"/>
          <w:szCs w:val="32"/>
        </w:rPr>
        <w:t>政府</w:t>
      </w:r>
      <w:r>
        <w:rPr>
          <w:rFonts w:hint="eastAsia"/>
          <w:kern w:val="0"/>
          <w:szCs w:val="32"/>
        </w:rPr>
        <w:t>审批</w:t>
      </w:r>
      <w:r>
        <w:rPr>
          <w:kern w:val="0"/>
          <w:szCs w:val="32"/>
        </w:rPr>
        <w:t>后，由</w:t>
      </w:r>
      <w:r>
        <w:rPr>
          <w:rFonts w:hint="eastAsia"/>
          <w:kern w:val="0"/>
          <w:szCs w:val="32"/>
        </w:rPr>
        <w:t>区</w:t>
      </w:r>
      <w:r>
        <w:rPr>
          <w:kern w:val="0"/>
          <w:szCs w:val="32"/>
        </w:rPr>
        <w:t>政府或</w:t>
      </w:r>
      <w:r>
        <w:rPr>
          <w:rFonts w:hint="eastAsia"/>
          <w:kern w:val="0"/>
          <w:szCs w:val="32"/>
        </w:rPr>
        <w:t>区</w:t>
      </w:r>
      <w:r>
        <w:rPr>
          <w:kern w:val="0"/>
          <w:szCs w:val="32"/>
        </w:rPr>
        <w:t>政府授权</w:t>
      </w:r>
      <w:r>
        <w:rPr>
          <w:rFonts w:hint="eastAsia"/>
          <w:kern w:val="0"/>
          <w:szCs w:val="32"/>
        </w:rPr>
        <w:t>区</w:t>
      </w:r>
      <w:r>
        <w:rPr>
          <w:kern w:val="0"/>
          <w:szCs w:val="32"/>
        </w:rPr>
        <w:t>指挥部办公室发布。</w:t>
      </w:r>
    </w:p>
    <w:p>
      <w:pPr>
        <w:snapToGrid w:val="0"/>
        <w:spacing w:line="560" w:lineRule="exact"/>
        <w:ind w:firstLine="640" w:firstLineChars="200"/>
      </w:pPr>
      <w:r>
        <w:rPr>
          <w:szCs w:val="32"/>
        </w:rPr>
        <w:t>全面配合市</w:t>
      </w:r>
      <w:r>
        <w:rPr>
          <w:rFonts w:hint="eastAsia"/>
          <w:szCs w:val="32"/>
        </w:rPr>
        <w:t>生态环境</w:t>
      </w:r>
      <w:r>
        <w:rPr>
          <w:szCs w:val="32"/>
        </w:rPr>
        <w:t>局和市气象局开展空气质量预警工作，结合实际，根据预报结果提示启动本区域重污染应急工作，达到重污染预警启动条件时，发布区域预警。</w:t>
      </w:r>
    </w:p>
    <w:p>
      <w:pPr>
        <w:spacing w:line="594" w:lineRule="exact"/>
        <w:ind w:firstLine="640" w:firstLineChars="200"/>
        <w:rPr>
          <w:kern w:val="0"/>
          <w:szCs w:val="32"/>
        </w:rPr>
      </w:pPr>
      <w:r>
        <w:rPr>
          <w:kern w:val="0"/>
          <w:szCs w:val="32"/>
        </w:rPr>
        <w:t>（2）预警内容。预警信息内容应当明确具体，包括发布单位、发布时间、重污染天气出现的时间、范围、污染程度、主要污染物、预警级别、潜在的危险程度、可能受影响的区域及需采取的措施建议等。</w:t>
      </w:r>
    </w:p>
    <w:p>
      <w:pPr>
        <w:spacing w:line="594" w:lineRule="exact"/>
        <w:ind w:firstLine="640"/>
        <w:rPr>
          <w:kern w:val="0"/>
          <w:szCs w:val="32"/>
        </w:rPr>
      </w:pPr>
      <w:r>
        <w:rPr>
          <w:kern w:val="0"/>
          <w:szCs w:val="32"/>
        </w:rPr>
        <w:t>（3）发布途径。通过区突发事件预警信息发布平台以及报刊、广播、电视、网络、微博、微信、商圈大屏幕等向受影响区域公众发布信息，告知公众空气质量状况和变化趋势，引导公众主动采取自我防护措施。</w:t>
      </w:r>
    </w:p>
    <w:p>
      <w:pPr>
        <w:spacing w:line="594" w:lineRule="exact"/>
        <w:ind w:firstLine="640"/>
        <w:rPr>
          <w:kern w:val="0"/>
          <w:szCs w:val="32"/>
        </w:rPr>
      </w:pPr>
      <w:r>
        <w:rPr>
          <w:kern w:val="0"/>
          <w:szCs w:val="32"/>
        </w:rPr>
        <w:t>（4）应急值守。达到重污染天气预警启动条件时，监测值班人员要24小时在岗，加强监控，对重污染天气可能发生的时间、范围、</w:t>
      </w:r>
      <w:r>
        <w:rPr>
          <w:rFonts w:hint="eastAsia"/>
          <w:kern w:val="0"/>
          <w:szCs w:val="32"/>
        </w:rPr>
        <w:t>污染程度、主要污染物、可能受影响的区域</w:t>
      </w:r>
      <w:r>
        <w:rPr>
          <w:kern w:val="0"/>
          <w:szCs w:val="32"/>
        </w:rPr>
        <w:t>等情况每4小时进行更新</w:t>
      </w:r>
      <w:r>
        <w:rPr>
          <w:rFonts w:hint="eastAsia"/>
          <w:kern w:val="0"/>
          <w:szCs w:val="32"/>
        </w:rPr>
        <w:t>并做出</w:t>
      </w:r>
      <w:r>
        <w:rPr>
          <w:kern w:val="0"/>
          <w:szCs w:val="32"/>
        </w:rPr>
        <w:t>预测预报。</w:t>
      </w:r>
    </w:p>
    <w:p>
      <w:pPr>
        <w:spacing w:line="594" w:lineRule="exact"/>
        <w:ind w:firstLine="640"/>
        <w:rPr>
          <w:kern w:val="0"/>
          <w:szCs w:val="32"/>
        </w:rPr>
      </w:pPr>
      <w:bookmarkStart w:id="77" w:name="_Toc89329330"/>
      <w:bookmarkStart w:id="78" w:name="_Toc89243579"/>
      <w:bookmarkStart w:id="79" w:name="_Toc95922314"/>
      <w:bookmarkStart w:id="80" w:name="_Toc18937"/>
      <w:bookmarkStart w:id="81" w:name="_Toc18701"/>
      <w:r>
        <w:rPr>
          <w:kern w:val="0"/>
          <w:szCs w:val="32"/>
        </w:rPr>
        <w:t>3.2.4预警调整和解除</w:t>
      </w:r>
      <w:bookmarkEnd w:id="77"/>
      <w:bookmarkEnd w:id="78"/>
      <w:bookmarkEnd w:id="79"/>
    </w:p>
    <w:bookmarkEnd w:id="80"/>
    <w:bookmarkEnd w:id="81"/>
    <w:p>
      <w:pPr>
        <w:spacing w:line="594" w:lineRule="exact"/>
        <w:ind w:firstLine="640"/>
        <w:rPr>
          <w:kern w:val="0"/>
          <w:szCs w:val="32"/>
        </w:rPr>
      </w:pPr>
      <w:r>
        <w:rPr>
          <w:kern w:val="0"/>
          <w:szCs w:val="32"/>
        </w:rPr>
        <w:t>预警信息发布后，发布单位应当加强信息收集、分析、研判等工作。当预测发生前后两次区域性污染过程，且间隔时间未达到解除预警条件时，应按一次重污染过程计算，从高级别启动预警。</w:t>
      </w:r>
    </w:p>
    <w:p>
      <w:pPr>
        <w:spacing w:line="594" w:lineRule="exact"/>
        <w:ind w:firstLine="640"/>
        <w:rPr>
          <w:kern w:val="0"/>
          <w:szCs w:val="32"/>
        </w:rPr>
      </w:pPr>
      <w:r>
        <w:rPr>
          <w:kern w:val="0"/>
          <w:szCs w:val="32"/>
        </w:rPr>
        <w:t>预警有升级可能时，由有权限的发布单位重新发布预警信息，并宣布预警级别调整。</w:t>
      </w:r>
    </w:p>
    <w:p>
      <w:pPr>
        <w:spacing w:line="594" w:lineRule="exact"/>
        <w:ind w:firstLine="640"/>
        <w:rPr>
          <w:kern w:val="0"/>
          <w:szCs w:val="32"/>
        </w:rPr>
      </w:pPr>
      <w:r>
        <w:rPr>
          <w:kern w:val="0"/>
          <w:szCs w:val="32"/>
        </w:rPr>
        <w:t>当空气质量改善到相应级别预警启动标准以下，且预测将持续36小时以上时，可以降低预警级别或解除预警，由原发布单位提前发布信息。</w:t>
      </w:r>
    </w:p>
    <w:p>
      <w:pPr>
        <w:pStyle w:val="2"/>
        <w:ind w:firstLine="640"/>
      </w:pPr>
      <w:bookmarkStart w:id="82" w:name="_Toc101966213"/>
      <w:bookmarkStart w:id="83" w:name="_Toc6623"/>
      <w:bookmarkStart w:id="84" w:name="_Toc89243580"/>
      <w:bookmarkStart w:id="85" w:name="_Toc90560912"/>
      <w:bookmarkStart w:id="86" w:name="_Toc95922315"/>
      <w:bookmarkStart w:id="87" w:name="_Toc8343"/>
      <w:r>
        <w:t>4 应急响应</w:t>
      </w:r>
      <w:bookmarkEnd w:id="82"/>
      <w:bookmarkEnd w:id="83"/>
      <w:bookmarkEnd w:id="84"/>
      <w:bookmarkEnd w:id="85"/>
      <w:bookmarkEnd w:id="86"/>
      <w:bookmarkEnd w:id="87"/>
    </w:p>
    <w:p>
      <w:pPr>
        <w:pStyle w:val="3"/>
        <w:ind w:firstLine="640"/>
      </w:pPr>
      <w:bookmarkStart w:id="88" w:name="_Toc90560914"/>
      <w:bookmarkStart w:id="89" w:name="_Toc95922317"/>
      <w:bookmarkStart w:id="90" w:name="_Toc28826"/>
      <w:bookmarkStart w:id="91" w:name="_Toc89243582"/>
      <w:bookmarkStart w:id="92" w:name="_Toc101966214"/>
      <w:bookmarkStart w:id="93" w:name="_Toc28277"/>
      <w:bookmarkStart w:id="94" w:name="_Toc23453"/>
      <w:bookmarkStart w:id="95" w:name="_Toc3895"/>
      <w:bookmarkStart w:id="96" w:name="_Toc90560913"/>
      <w:bookmarkStart w:id="97" w:name="_Toc89243581"/>
      <w:bookmarkStart w:id="98" w:name="_Toc95922316"/>
      <w:r>
        <w:t>4.1 响应分级</w:t>
      </w:r>
      <w:bookmarkEnd w:id="88"/>
      <w:bookmarkEnd w:id="89"/>
      <w:bookmarkEnd w:id="90"/>
      <w:bookmarkEnd w:id="91"/>
      <w:bookmarkEnd w:id="92"/>
      <w:bookmarkEnd w:id="93"/>
    </w:p>
    <w:p>
      <w:pPr>
        <w:ind w:firstLine="640"/>
      </w:pPr>
      <w:r>
        <w:rPr>
          <w:rFonts w:hint="eastAsia"/>
        </w:rPr>
        <w:t>对应预警等级，实行三级响应。</w:t>
      </w:r>
    </w:p>
    <w:p>
      <w:pPr>
        <w:spacing w:line="594" w:lineRule="exact"/>
        <w:ind w:firstLine="640"/>
        <w:rPr>
          <w:kern w:val="0"/>
          <w:szCs w:val="32"/>
        </w:rPr>
      </w:pPr>
      <w:r>
        <w:rPr>
          <w:rFonts w:hint="eastAsia"/>
          <w:kern w:val="0"/>
          <w:szCs w:val="32"/>
        </w:rPr>
        <w:t>（1）</w:t>
      </w:r>
      <w:r>
        <w:rPr>
          <w:kern w:val="0"/>
          <w:szCs w:val="32"/>
        </w:rPr>
        <w:t>发布黄色预警时，启动III级应急响应。</w:t>
      </w:r>
    </w:p>
    <w:p>
      <w:pPr>
        <w:spacing w:line="594" w:lineRule="exact"/>
        <w:ind w:firstLine="640"/>
        <w:rPr>
          <w:kern w:val="0"/>
          <w:szCs w:val="32"/>
        </w:rPr>
      </w:pPr>
      <w:r>
        <w:rPr>
          <w:rFonts w:hint="eastAsia"/>
          <w:kern w:val="0"/>
          <w:szCs w:val="32"/>
        </w:rPr>
        <w:t>（2）</w:t>
      </w:r>
      <w:r>
        <w:rPr>
          <w:kern w:val="0"/>
          <w:szCs w:val="32"/>
        </w:rPr>
        <w:t>发布橙色预警时，启动II级应急响应</w:t>
      </w:r>
      <w:r>
        <w:rPr>
          <w:rFonts w:hint="eastAsia"/>
          <w:kern w:val="0"/>
          <w:szCs w:val="32"/>
        </w:rPr>
        <w:t>。</w:t>
      </w:r>
    </w:p>
    <w:p>
      <w:pPr>
        <w:spacing w:line="594" w:lineRule="exact"/>
        <w:ind w:firstLine="640"/>
        <w:rPr>
          <w:kern w:val="0"/>
          <w:szCs w:val="32"/>
        </w:rPr>
      </w:pPr>
      <w:r>
        <w:rPr>
          <w:rFonts w:hint="eastAsia"/>
          <w:kern w:val="0"/>
          <w:szCs w:val="32"/>
        </w:rPr>
        <w:t>（3）</w:t>
      </w:r>
      <w:r>
        <w:rPr>
          <w:kern w:val="0"/>
          <w:szCs w:val="32"/>
        </w:rPr>
        <w:t>发布</w:t>
      </w:r>
      <w:r>
        <w:rPr>
          <w:rFonts w:hint="eastAsia"/>
          <w:kern w:val="0"/>
          <w:szCs w:val="32"/>
        </w:rPr>
        <w:t>红</w:t>
      </w:r>
      <w:r>
        <w:rPr>
          <w:kern w:val="0"/>
          <w:szCs w:val="32"/>
        </w:rPr>
        <w:t>色预警时，启动</w:t>
      </w:r>
      <w:r>
        <w:rPr>
          <w:rFonts w:hint="eastAsia"/>
          <w:kern w:val="0"/>
          <w:szCs w:val="32"/>
        </w:rPr>
        <w:t>I</w:t>
      </w:r>
      <w:r>
        <w:rPr>
          <w:kern w:val="0"/>
          <w:szCs w:val="32"/>
        </w:rPr>
        <w:t>级应急响应</w:t>
      </w:r>
      <w:r>
        <w:rPr>
          <w:rFonts w:hint="eastAsia"/>
          <w:kern w:val="0"/>
          <w:szCs w:val="32"/>
        </w:rPr>
        <w:t>。</w:t>
      </w:r>
    </w:p>
    <w:p>
      <w:pPr>
        <w:pStyle w:val="3"/>
        <w:ind w:firstLine="640"/>
      </w:pPr>
      <w:bookmarkStart w:id="99" w:name="_Toc101966215"/>
      <w:bookmarkStart w:id="100" w:name="_Toc89243583"/>
      <w:bookmarkStart w:id="101" w:name="_Toc90560915"/>
      <w:bookmarkStart w:id="102" w:name="_Toc95922318"/>
      <w:bookmarkStart w:id="103" w:name="_Toc5994"/>
      <w:bookmarkStart w:id="104" w:name="_Toc28378"/>
      <w:r>
        <w:t>4.2 响应措施</w:t>
      </w:r>
      <w:bookmarkEnd w:id="99"/>
      <w:bookmarkEnd w:id="100"/>
      <w:bookmarkEnd w:id="101"/>
      <w:bookmarkEnd w:id="102"/>
      <w:bookmarkEnd w:id="103"/>
      <w:bookmarkEnd w:id="104"/>
    </w:p>
    <w:p>
      <w:pPr>
        <w:spacing w:line="594" w:lineRule="exact"/>
        <w:ind w:firstLine="640"/>
        <w:rPr>
          <w:kern w:val="0"/>
          <w:szCs w:val="32"/>
        </w:rPr>
      </w:pPr>
      <w:r>
        <w:rPr>
          <w:kern w:val="0"/>
          <w:szCs w:val="32"/>
        </w:rPr>
        <w:t>应急响应措施主要分为健康防护措施、</w:t>
      </w:r>
      <w:r>
        <w:rPr>
          <w:rFonts w:hint="eastAsia"/>
          <w:kern w:val="0"/>
          <w:szCs w:val="32"/>
        </w:rPr>
        <w:t>倡议性</w:t>
      </w:r>
      <w:r>
        <w:rPr>
          <w:kern w:val="0"/>
          <w:szCs w:val="32"/>
        </w:rPr>
        <w:t>减排措施和强制性减排措施。</w:t>
      </w:r>
    </w:p>
    <w:p>
      <w:pPr>
        <w:spacing w:line="594" w:lineRule="exact"/>
        <w:ind w:firstLine="640"/>
        <w:rPr>
          <w:kern w:val="0"/>
          <w:szCs w:val="32"/>
        </w:rPr>
      </w:pPr>
      <w:r>
        <w:rPr>
          <w:kern w:val="0"/>
          <w:szCs w:val="32"/>
        </w:rPr>
        <w:t>Ⅲ级</w:t>
      </w:r>
      <w:r>
        <w:rPr>
          <w:rFonts w:hint="eastAsia"/>
          <w:kern w:val="0"/>
          <w:szCs w:val="32"/>
        </w:rPr>
        <w:t>、</w:t>
      </w:r>
      <w:r>
        <w:rPr>
          <w:kern w:val="0"/>
          <w:szCs w:val="32"/>
        </w:rPr>
        <w:t>Ⅱ级、Ⅰ级</w:t>
      </w:r>
      <w:r>
        <w:rPr>
          <w:rFonts w:hint="eastAsia"/>
          <w:kern w:val="0"/>
          <w:szCs w:val="32"/>
        </w:rPr>
        <w:t>应急响应的</w:t>
      </w:r>
      <w:r>
        <w:rPr>
          <w:kern w:val="0"/>
          <w:szCs w:val="32"/>
        </w:rPr>
        <w:t>健康防护措施、</w:t>
      </w:r>
      <w:r>
        <w:rPr>
          <w:rFonts w:hint="eastAsia"/>
          <w:kern w:val="0"/>
          <w:szCs w:val="32"/>
        </w:rPr>
        <w:t>倡议性</w:t>
      </w:r>
      <w:r>
        <w:rPr>
          <w:kern w:val="0"/>
          <w:szCs w:val="32"/>
        </w:rPr>
        <w:t>减排措施</w:t>
      </w:r>
      <w:r>
        <w:rPr>
          <w:rFonts w:hint="eastAsia"/>
          <w:kern w:val="0"/>
          <w:szCs w:val="32"/>
        </w:rPr>
        <w:t>由区指挥部办公室发布相应信息，相关区级部门及各街镇政府组织实施。</w:t>
      </w:r>
    </w:p>
    <w:p>
      <w:pPr>
        <w:spacing w:line="594" w:lineRule="exact"/>
        <w:ind w:firstLine="640"/>
        <w:rPr>
          <w:kern w:val="0"/>
          <w:szCs w:val="32"/>
        </w:rPr>
      </w:pPr>
      <w:r>
        <w:rPr>
          <w:kern w:val="0"/>
          <w:szCs w:val="32"/>
        </w:rPr>
        <w:t>Ⅲ</w:t>
      </w:r>
      <w:r>
        <w:rPr>
          <w:rFonts w:hint="eastAsia"/>
          <w:kern w:val="0"/>
          <w:szCs w:val="32"/>
        </w:rPr>
        <w:t>级应急响应</w:t>
      </w:r>
      <w:r>
        <w:rPr>
          <w:rFonts w:hint="eastAsia"/>
        </w:rPr>
        <w:t>的</w:t>
      </w:r>
      <w:r>
        <w:rPr>
          <w:rFonts w:hint="eastAsia"/>
          <w:kern w:val="0"/>
          <w:szCs w:val="32"/>
        </w:rPr>
        <w:t>强制性减排措施，按照属地属事管理原则，组织相关部门、单位开展应急响应工作。区指挥部办公室会同区级</w:t>
      </w:r>
      <w:r>
        <w:rPr>
          <w:kern w:val="0"/>
          <w:szCs w:val="32"/>
        </w:rPr>
        <w:t>有关部门加强检查、指导和督促。</w:t>
      </w:r>
    </w:p>
    <w:p>
      <w:pPr>
        <w:spacing w:line="594" w:lineRule="exact"/>
        <w:ind w:firstLine="640"/>
        <w:rPr>
          <w:kern w:val="0"/>
          <w:szCs w:val="32"/>
        </w:rPr>
      </w:pPr>
      <w:r>
        <w:rPr>
          <w:kern w:val="0"/>
          <w:szCs w:val="32"/>
        </w:rPr>
        <w:t>Ⅱ级、Ⅰ级应急响应</w:t>
      </w:r>
      <w:r>
        <w:rPr>
          <w:rFonts w:hint="eastAsia"/>
        </w:rPr>
        <w:t>的</w:t>
      </w:r>
      <w:r>
        <w:rPr>
          <w:rFonts w:hint="eastAsia"/>
          <w:kern w:val="0"/>
          <w:szCs w:val="32"/>
        </w:rPr>
        <w:t>强制性减排措施</w:t>
      </w:r>
      <w:r>
        <w:rPr>
          <w:kern w:val="0"/>
          <w:szCs w:val="32"/>
        </w:rPr>
        <w:t>，</w:t>
      </w:r>
      <w:r>
        <w:rPr>
          <w:rFonts w:hint="eastAsia"/>
          <w:kern w:val="0"/>
          <w:szCs w:val="32"/>
        </w:rPr>
        <w:t>由区指挥部设立综合协调组、工业应急组、城市扬尘应急组、机动车排气应急组、宣传引导组（以下简称五个工作组），组织开展应急响应工作</w:t>
      </w:r>
      <w:r>
        <w:rPr>
          <w:kern w:val="0"/>
          <w:szCs w:val="32"/>
        </w:rPr>
        <w:t>（见附件2）</w:t>
      </w:r>
      <w:r>
        <w:rPr>
          <w:rFonts w:hint="eastAsia"/>
          <w:kern w:val="0"/>
          <w:szCs w:val="32"/>
        </w:rPr>
        <w:t>，五个工作组牵头单位在区指挥部办公室集中办公。相关区级部门及街镇政府，按照属地属事管理原则，组织开展应急响应工作。</w:t>
      </w:r>
    </w:p>
    <w:p>
      <w:pPr>
        <w:spacing w:line="594" w:lineRule="exact"/>
        <w:ind w:firstLine="640"/>
        <w:rPr>
          <w:kern w:val="0"/>
          <w:szCs w:val="32"/>
        </w:rPr>
      </w:pPr>
      <w:bookmarkStart w:id="105" w:name="_Toc101966216"/>
      <w:r>
        <w:rPr>
          <w:kern w:val="0"/>
          <w:szCs w:val="32"/>
        </w:rPr>
        <w:t xml:space="preserve">4.2.1 </w:t>
      </w:r>
      <w:bookmarkEnd w:id="94"/>
      <w:bookmarkEnd w:id="95"/>
      <w:bookmarkEnd w:id="96"/>
      <w:bookmarkEnd w:id="97"/>
      <w:r>
        <w:rPr>
          <w:kern w:val="0"/>
          <w:szCs w:val="32"/>
        </w:rPr>
        <w:t>总体要求</w:t>
      </w:r>
      <w:bookmarkEnd w:id="98"/>
      <w:bookmarkEnd w:id="105"/>
    </w:p>
    <w:p>
      <w:pPr>
        <w:spacing w:line="594" w:lineRule="exact"/>
        <w:ind w:firstLine="640"/>
        <w:rPr>
          <w:kern w:val="0"/>
          <w:szCs w:val="32"/>
        </w:rPr>
      </w:pPr>
      <w:r>
        <w:rPr>
          <w:kern w:val="0"/>
          <w:szCs w:val="32"/>
        </w:rPr>
        <w:t>（1）臭氧为首要污染物的应急响应期间，氮氧化物和挥发性有机物在III级、II级、I级应急响应下减排比例分别达到全社会总排放量的10%、20%和30%以上。</w:t>
      </w:r>
    </w:p>
    <w:p>
      <w:pPr>
        <w:spacing w:line="594" w:lineRule="exact"/>
        <w:ind w:firstLine="640"/>
      </w:pPr>
      <w:r>
        <w:rPr>
          <w:kern w:val="0"/>
          <w:szCs w:val="32"/>
        </w:rPr>
        <w:t>颗粒物为首要污染物的应急响应期间，</w:t>
      </w:r>
      <w:r>
        <w:rPr>
          <w:rFonts w:hint="eastAsia"/>
          <w:kern w:val="0"/>
          <w:szCs w:val="32"/>
        </w:rPr>
        <w:t>二氧化硫、</w:t>
      </w:r>
      <w:r>
        <w:rPr>
          <w:kern w:val="0"/>
          <w:szCs w:val="32"/>
        </w:rPr>
        <w:t>氮氧化物、颗粒物和挥发性有机物在III级、II级、I级应急响应下减排比例分别达到全社会总排放量的10%、20%和30%以上，可根据本地实际调整二氧化硫和氮氧化物减排比例，但二者比例之和不得低于上述总体要求。</w:t>
      </w:r>
    </w:p>
    <w:p>
      <w:pPr>
        <w:spacing w:line="594" w:lineRule="exact"/>
        <w:ind w:firstLine="640"/>
        <w:rPr>
          <w:kern w:val="0"/>
          <w:szCs w:val="32"/>
        </w:rPr>
      </w:pPr>
      <w:r>
        <w:rPr>
          <w:kern w:val="0"/>
          <w:szCs w:val="32"/>
        </w:rPr>
        <w:t>（2）应当逐个排查本行政区域内各类涉气污染源，摸清污染排放实际情况，编制重污染天气应急减排清单，清单须包括工业源、移动源、扬尘源等基本信息和相应预警级别下的减排措施。《重污染天气重点行业应急减排措施制定技术指南》规定的重点行业涉气企业全部纳入重污染天气应急减排清单，其他行业企业视情况纳入，确保减排措施全覆盖。未纳入应急减排清单的重点行业涉气企业，根据减排需要，在橙色及以上预警期间采取统一应急减排措施。</w:t>
      </w:r>
    </w:p>
    <w:p>
      <w:pPr>
        <w:spacing w:line="594" w:lineRule="exact"/>
        <w:ind w:firstLine="640"/>
        <w:rPr>
          <w:kern w:val="0"/>
          <w:szCs w:val="32"/>
        </w:rPr>
      </w:pPr>
      <w:r>
        <w:rPr>
          <w:kern w:val="0"/>
          <w:szCs w:val="32"/>
        </w:rPr>
        <w:t>对新兴产业、战略性产业和保障民生的企业，应当根据实际情况采取减排措施，尽量避免对正常生产生活造成影响。对承担城市生活垃圾或危险废物等民生保障类企业，在保障任务完成的同时，核定最大允许生产负荷，实施</w:t>
      </w:r>
      <w:r>
        <w:rPr>
          <w:rFonts w:hint="eastAsia"/>
          <w:kern w:val="0"/>
          <w:szCs w:val="32"/>
        </w:rPr>
        <w:t>“</w:t>
      </w:r>
      <w:r>
        <w:rPr>
          <w:kern w:val="0"/>
          <w:szCs w:val="32"/>
        </w:rPr>
        <w:t>以量定产</w:t>
      </w:r>
      <w:r>
        <w:rPr>
          <w:rFonts w:hint="eastAsia"/>
          <w:kern w:val="0"/>
          <w:szCs w:val="32"/>
        </w:rPr>
        <w:t>”</w:t>
      </w:r>
      <w:r>
        <w:rPr>
          <w:kern w:val="0"/>
          <w:szCs w:val="32"/>
        </w:rPr>
        <w:t>或</w:t>
      </w:r>
      <w:r>
        <w:rPr>
          <w:rFonts w:hint="eastAsia"/>
          <w:kern w:val="0"/>
          <w:szCs w:val="32"/>
        </w:rPr>
        <w:t>“</w:t>
      </w:r>
      <w:r>
        <w:rPr>
          <w:kern w:val="0"/>
          <w:szCs w:val="32"/>
        </w:rPr>
        <w:t>以热定产</w:t>
      </w:r>
      <w:r>
        <w:rPr>
          <w:rFonts w:hint="eastAsia"/>
          <w:kern w:val="0"/>
          <w:szCs w:val="32"/>
        </w:rPr>
        <w:t>”</w:t>
      </w:r>
      <w:r>
        <w:rPr>
          <w:kern w:val="0"/>
          <w:szCs w:val="32"/>
        </w:rPr>
        <w:t>。</w:t>
      </w:r>
    </w:p>
    <w:p>
      <w:pPr>
        <w:spacing w:line="594" w:lineRule="exact"/>
        <w:ind w:firstLine="640"/>
        <w:rPr>
          <w:kern w:val="0"/>
          <w:szCs w:val="32"/>
        </w:rPr>
      </w:pPr>
      <w:r>
        <w:rPr>
          <w:kern w:val="0"/>
          <w:szCs w:val="32"/>
        </w:rPr>
        <w:t>应每年</w:t>
      </w:r>
      <w:r>
        <w:rPr>
          <w:rFonts w:hint="eastAsia"/>
          <w:kern w:val="0"/>
          <w:szCs w:val="32"/>
        </w:rPr>
        <w:t>动态</w:t>
      </w:r>
      <w:r>
        <w:rPr>
          <w:kern w:val="0"/>
          <w:szCs w:val="32"/>
        </w:rPr>
        <w:t>更新应急减排清单，并按要求报</w:t>
      </w:r>
      <w:r>
        <w:rPr>
          <w:rFonts w:hint="eastAsia"/>
          <w:kern w:val="0"/>
          <w:szCs w:val="32"/>
        </w:rPr>
        <w:t>市</w:t>
      </w:r>
      <w:r>
        <w:rPr>
          <w:kern w:val="0"/>
          <w:szCs w:val="32"/>
        </w:rPr>
        <w:t>指挥部办公室备案。</w:t>
      </w:r>
      <w:r>
        <w:rPr>
          <w:rFonts w:hint="eastAsia"/>
          <w:kern w:val="0"/>
          <w:szCs w:val="32"/>
        </w:rPr>
        <w:t>长寿区</w:t>
      </w:r>
      <w:r>
        <w:rPr>
          <w:kern w:val="0"/>
          <w:szCs w:val="32"/>
        </w:rPr>
        <w:t>重污染天气应急预案和应急减排清单应当向社会公开，引导社会力量参与监督。</w:t>
      </w:r>
    </w:p>
    <w:p>
      <w:pPr>
        <w:spacing w:line="594" w:lineRule="exact"/>
        <w:ind w:firstLine="640"/>
        <w:rPr>
          <w:kern w:val="0"/>
          <w:szCs w:val="32"/>
        </w:rPr>
      </w:pPr>
      <w:r>
        <w:rPr>
          <w:kern w:val="0"/>
          <w:szCs w:val="32"/>
        </w:rPr>
        <w:t>（3）制定减排措施</w:t>
      </w:r>
      <w:r>
        <w:rPr>
          <w:rFonts w:hint="eastAsia"/>
          <w:kern w:val="0"/>
          <w:szCs w:val="32"/>
        </w:rPr>
        <w:t>时</w:t>
      </w:r>
      <w:r>
        <w:rPr>
          <w:kern w:val="0"/>
          <w:szCs w:val="32"/>
        </w:rPr>
        <w:t>，应当在满足减排比例要求的前提下，按照国家绩效分级标准，根据企业工艺装备水平、污染治理技术、无组织管控措施、监测监控水平、排放限值、运输方式等环保绩效情况，开展评定分级。对未达到总体减排比例要求的企业，应当及时加大应急减排力度；确因客观原因无法达到总体减排比例要求的企业，提供详细测算说明和清单后，视情况核低其减排比例。</w:t>
      </w:r>
    </w:p>
    <w:p>
      <w:pPr>
        <w:spacing w:line="594" w:lineRule="exact"/>
        <w:ind w:firstLine="640"/>
        <w:rPr>
          <w:kern w:val="0"/>
          <w:szCs w:val="32"/>
        </w:rPr>
      </w:pPr>
      <w:r>
        <w:rPr>
          <w:kern w:val="0"/>
          <w:szCs w:val="32"/>
        </w:rPr>
        <w:t>（4）纳入重污染天气应急减排清单的工业企业是制定</w:t>
      </w:r>
      <w:r>
        <w:rPr>
          <w:rFonts w:hint="eastAsia"/>
          <w:kern w:val="0"/>
          <w:szCs w:val="32"/>
        </w:rPr>
        <w:t>“</w:t>
      </w:r>
      <w:r>
        <w:rPr>
          <w:kern w:val="0"/>
          <w:szCs w:val="32"/>
        </w:rPr>
        <w:t>一厂一策</w:t>
      </w:r>
      <w:r>
        <w:rPr>
          <w:rFonts w:hint="eastAsia"/>
          <w:kern w:val="0"/>
          <w:szCs w:val="32"/>
        </w:rPr>
        <w:t>”</w:t>
      </w:r>
      <w:r>
        <w:rPr>
          <w:kern w:val="0"/>
          <w:szCs w:val="32"/>
        </w:rPr>
        <w:t>实施方案的主体，要督促指导企业规范、科学、合理制定实施方案。实施方案含企业基本情况、主要生产工艺流程、主要涉气产排污环节及污染物排放情况（含重型运输车辆及非道路移动机械污染物排放情况），并载明不同级别预警下具体应急减排措施，实现</w:t>
      </w:r>
      <w:r>
        <w:rPr>
          <w:rFonts w:hint="eastAsia"/>
          <w:kern w:val="0"/>
          <w:szCs w:val="32"/>
        </w:rPr>
        <w:t>“</w:t>
      </w:r>
      <w:r>
        <w:rPr>
          <w:kern w:val="0"/>
          <w:szCs w:val="32"/>
        </w:rPr>
        <w:t>可操作、可监测、可核查</w:t>
      </w:r>
      <w:r>
        <w:rPr>
          <w:rFonts w:hint="eastAsia"/>
          <w:kern w:val="0"/>
          <w:szCs w:val="32"/>
        </w:rPr>
        <w:t>”</w:t>
      </w:r>
      <w:r>
        <w:rPr>
          <w:kern w:val="0"/>
          <w:szCs w:val="32"/>
        </w:rPr>
        <w:t>。</w:t>
      </w:r>
    </w:p>
    <w:p>
      <w:pPr>
        <w:spacing w:line="594" w:lineRule="exact"/>
        <w:ind w:firstLine="640"/>
        <w:rPr>
          <w:kern w:val="0"/>
          <w:szCs w:val="32"/>
        </w:rPr>
      </w:pPr>
      <w:r>
        <w:rPr>
          <w:kern w:val="0"/>
          <w:szCs w:val="32"/>
        </w:rPr>
        <w:t>（5）施工扬尘应采取管控措施禁止混凝土搅拌、建筑拆除、渣土车运输、土石方作业等；道路扬尘应采取适当增加主干道路和易产生扬尘路段的机扫和洒水频次等管控措施。</w:t>
      </w:r>
    </w:p>
    <w:p>
      <w:pPr>
        <w:spacing w:line="594" w:lineRule="exact"/>
        <w:ind w:firstLine="640"/>
        <w:rPr>
          <w:kern w:val="0"/>
          <w:szCs w:val="32"/>
        </w:rPr>
      </w:pPr>
      <w:r>
        <w:rPr>
          <w:kern w:val="0"/>
          <w:szCs w:val="32"/>
        </w:rPr>
        <w:t>（6）移动源管控应重点</w:t>
      </w:r>
      <w:r>
        <w:rPr>
          <w:rFonts w:hint="eastAsia"/>
          <w:kern w:val="0"/>
          <w:szCs w:val="32"/>
        </w:rPr>
        <w:t>采取</w:t>
      </w:r>
      <w:r>
        <w:rPr>
          <w:kern w:val="0"/>
          <w:szCs w:val="32"/>
        </w:rPr>
        <w:t>限制高排放车辆和非道路移动机械使用等措施。涉及大宗原材料及产品运输的重点用车企业，应制定错峰运输方案，源头管控高排放车辆；机动车限行纳入常规城市管理的，不纳入应急管控范畴，不计入减排比例。</w:t>
      </w:r>
    </w:p>
    <w:p>
      <w:pPr>
        <w:spacing w:line="594" w:lineRule="exact"/>
        <w:ind w:firstLine="640"/>
        <w:rPr>
          <w:kern w:val="0"/>
          <w:szCs w:val="32"/>
        </w:rPr>
      </w:pPr>
      <w:r>
        <w:rPr>
          <w:kern w:val="0"/>
          <w:szCs w:val="32"/>
        </w:rPr>
        <w:t>（7）</w:t>
      </w:r>
      <w:r>
        <w:rPr>
          <w:rFonts w:hint="eastAsia"/>
          <w:kern w:val="0"/>
          <w:szCs w:val="32"/>
        </w:rPr>
        <w:t>加强工业源、扬尘源、移动源“三源”污染与重污染天气发生的相关性分析，抓住关键和主要矛盾，精准施策。强化重点区域、重点企业、重点时段分类管控措施，统筹经济社会发展和重污染天气应急处置，避免简单化，杜绝“一刀切”。</w:t>
      </w:r>
    </w:p>
    <w:p>
      <w:pPr>
        <w:spacing w:line="594" w:lineRule="exact"/>
        <w:ind w:firstLine="640"/>
        <w:rPr>
          <w:kern w:val="0"/>
          <w:szCs w:val="32"/>
        </w:rPr>
      </w:pPr>
      <w:r>
        <w:rPr>
          <w:kern w:val="0"/>
          <w:szCs w:val="32"/>
        </w:rPr>
        <w:t>（8）</w:t>
      </w:r>
      <w:r>
        <w:rPr>
          <w:rFonts w:hint="eastAsia"/>
          <w:kern w:val="0"/>
          <w:szCs w:val="32"/>
        </w:rPr>
        <w:t>重污染天气强制性减排措施，是在落实大气污染治理日常措施的基础上，进一步强化减排力度，两者不能混淆。在重污染容易发生的夏季和冬季，应将部分应急减排措施（如季节性错峰生产、轮产措施等）按常态化管控要求组织实施。</w:t>
      </w:r>
    </w:p>
    <w:p>
      <w:pPr>
        <w:pStyle w:val="32"/>
        <w:spacing w:line="594" w:lineRule="exact"/>
        <w:ind w:firstLine="640"/>
        <w:rPr>
          <w:kern w:val="0"/>
          <w:szCs w:val="32"/>
        </w:rPr>
      </w:pPr>
      <w:r>
        <w:rPr>
          <w:kern w:val="0"/>
          <w:szCs w:val="32"/>
        </w:rPr>
        <w:t>（9）</w:t>
      </w:r>
      <w:r>
        <w:rPr>
          <w:rFonts w:hint="eastAsia"/>
          <w:kern w:val="0"/>
          <w:szCs w:val="32"/>
        </w:rPr>
        <w:t>春节、国庆节等长假期间，因幼儿园</w:t>
      </w:r>
      <w:r>
        <w:rPr>
          <w:rFonts w:hint="eastAsia"/>
        </w:rPr>
        <w:t>和</w:t>
      </w:r>
      <w:r>
        <w:rPr>
          <w:rFonts w:hint="eastAsia"/>
          <w:kern w:val="0"/>
          <w:szCs w:val="32"/>
        </w:rPr>
        <w:t>中小学校放假、机动车行驶数量减少、多数工业企业停产、施工工地停工，社会活动强度大幅度降低，在发生重污染天气时，以提醒健康防护措施、倡议性减排措施为主。</w:t>
      </w:r>
    </w:p>
    <w:p>
      <w:pPr>
        <w:spacing w:line="594" w:lineRule="exact"/>
        <w:ind w:firstLine="640"/>
        <w:rPr>
          <w:kern w:val="0"/>
          <w:szCs w:val="32"/>
        </w:rPr>
      </w:pPr>
      <w:bookmarkStart w:id="106" w:name="_Toc95922319"/>
      <w:r>
        <w:rPr>
          <w:kern w:val="0"/>
          <w:szCs w:val="32"/>
        </w:rPr>
        <w:t>4.2.2 Ⅲ级响应措施</w:t>
      </w:r>
      <w:bookmarkEnd w:id="106"/>
    </w:p>
    <w:p>
      <w:pPr>
        <w:spacing w:line="594" w:lineRule="exact"/>
        <w:ind w:firstLine="640"/>
        <w:rPr>
          <w:kern w:val="0"/>
          <w:szCs w:val="32"/>
        </w:rPr>
      </w:pPr>
      <w:r>
        <w:rPr>
          <w:kern w:val="0"/>
          <w:szCs w:val="32"/>
        </w:rPr>
        <w:t>（1）健康防护措施</w:t>
      </w:r>
    </w:p>
    <w:p>
      <w:pPr>
        <w:spacing w:line="594" w:lineRule="exact"/>
        <w:ind w:firstLine="640"/>
        <w:rPr>
          <w:kern w:val="0"/>
          <w:szCs w:val="32"/>
        </w:rPr>
      </w:pPr>
      <w:r>
        <w:rPr>
          <w:rFonts w:hint="eastAsia"/>
          <w:kern w:val="0"/>
          <w:szCs w:val="32"/>
        </w:rPr>
        <w:t>当地宣传、广电部门等</w:t>
      </w:r>
      <w:r>
        <w:rPr>
          <w:kern w:val="0"/>
          <w:szCs w:val="32"/>
        </w:rPr>
        <w:t>按照预警信息发布途径发布健康防护警示，提醒儿童、老年人</w:t>
      </w:r>
      <w:r>
        <w:rPr>
          <w:rFonts w:hint="eastAsia"/>
          <w:kern w:val="0"/>
          <w:szCs w:val="32"/>
        </w:rPr>
        <w:t>和相关</w:t>
      </w:r>
      <w:r>
        <w:rPr>
          <w:kern w:val="0"/>
          <w:szCs w:val="32"/>
        </w:rPr>
        <w:t>疾病</w:t>
      </w:r>
      <w:r>
        <w:rPr>
          <w:rFonts w:hint="eastAsia"/>
          <w:kern w:val="0"/>
          <w:szCs w:val="32"/>
        </w:rPr>
        <w:t>患者采取</w:t>
      </w:r>
      <w:r>
        <w:rPr>
          <w:kern w:val="0"/>
          <w:szCs w:val="32"/>
        </w:rPr>
        <w:t>防护措施。</w:t>
      </w:r>
    </w:p>
    <w:p>
      <w:pPr>
        <w:spacing w:line="594" w:lineRule="exact"/>
        <w:ind w:firstLine="640"/>
        <w:rPr>
          <w:kern w:val="0"/>
          <w:szCs w:val="32"/>
        </w:rPr>
      </w:pPr>
      <w:r>
        <w:rPr>
          <w:rFonts w:hint="eastAsia"/>
          <w:kern w:val="0"/>
          <w:szCs w:val="32"/>
        </w:rPr>
        <w:t>建议</w:t>
      </w:r>
      <w:r>
        <w:rPr>
          <w:kern w:val="0"/>
          <w:szCs w:val="32"/>
        </w:rPr>
        <w:t>当地教育部门指导幼儿园和中小学校</w:t>
      </w:r>
      <w:r>
        <w:rPr>
          <w:rFonts w:hint="eastAsia"/>
          <w:kern w:val="0"/>
          <w:szCs w:val="32"/>
        </w:rPr>
        <w:t>减少</w:t>
      </w:r>
      <w:r>
        <w:rPr>
          <w:kern w:val="0"/>
          <w:szCs w:val="32"/>
        </w:rPr>
        <w:t>学生户外活动</w:t>
      </w:r>
      <w:r>
        <w:rPr>
          <w:rFonts w:hint="eastAsia"/>
          <w:kern w:val="0"/>
          <w:szCs w:val="32"/>
        </w:rPr>
        <w:t>时间</w:t>
      </w:r>
      <w:r>
        <w:rPr>
          <w:kern w:val="0"/>
          <w:szCs w:val="32"/>
        </w:rPr>
        <w:t>。</w:t>
      </w:r>
    </w:p>
    <w:p>
      <w:pPr>
        <w:spacing w:line="594" w:lineRule="exact"/>
        <w:ind w:firstLine="640"/>
        <w:rPr>
          <w:kern w:val="0"/>
          <w:szCs w:val="32"/>
        </w:rPr>
      </w:pPr>
      <w:r>
        <w:rPr>
          <w:kern w:val="0"/>
          <w:szCs w:val="32"/>
        </w:rPr>
        <w:t>当地卫生部门</w:t>
      </w:r>
      <w:r>
        <w:rPr>
          <w:rFonts w:hint="eastAsia"/>
          <w:kern w:val="0"/>
          <w:szCs w:val="32"/>
        </w:rPr>
        <w:t>组织</w:t>
      </w:r>
      <w:r>
        <w:rPr>
          <w:kern w:val="0"/>
          <w:szCs w:val="32"/>
        </w:rPr>
        <w:t>医疗机构适当增</w:t>
      </w:r>
      <w:r>
        <w:rPr>
          <w:rFonts w:hint="eastAsia"/>
          <w:kern w:val="0"/>
          <w:szCs w:val="32"/>
        </w:rPr>
        <w:t>设</w:t>
      </w:r>
      <w:r>
        <w:rPr>
          <w:kern w:val="0"/>
          <w:szCs w:val="32"/>
        </w:rPr>
        <w:t>相关疾病门诊</w:t>
      </w:r>
      <w:r>
        <w:rPr>
          <w:rFonts w:hint="eastAsia"/>
          <w:kern w:val="0"/>
          <w:szCs w:val="32"/>
        </w:rPr>
        <w:t>、</w:t>
      </w:r>
      <w:r>
        <w:rPr>
          <w:kern w:val="0"/>
          <w:szCs w:val="32"/>
        </w:rPr>
        <w:t>急诊</w:t>
      </w:r>
      <w:r>
        <w:rPr>
          <w:rFonts w:hint="eastAsia"/>
          <w:kern w:val="0"/>
          <w:szCs w:val="32"/>
        </w:rPr>
        <w:t>，增加</w:t>
      </w:r>
      <w:r>
        <w:rPr>
          <w:kern w:val="0"/>
          <w:szCs w:val="32"/>
        </w:rPr>
        <w:t>医护人员数量，加强对呼吸类疾病</w:t>
      </w:r>
      <w:r>
        <w:rPr>
          <w:rFonts w:hint="eastAsia"/>
        </w:rPr>
        <w:t>易感人群</w:t>
      </w:r>
      <w:r>
        <w:rPr>
          <w:kern w:val="0"/>
          <w:szCs w:val="32"/>
        </w:rPr>
        <w:t>的就医指导和诊疗保障。</w:t>
      </w:r>
    </w:p>
    <w:p>
      <w:pPr>
        <w:spacing w:line="594" w:lineRule="exact"/>
        <w:ind w:firstLine="640"/>
        <w:rPr>
          <w:kern w:val="0"/>
          <w:szCs w:val="32"/>
        </w:rPr>
      </w:pPr>
      <w:r>
        <w:rPr>
          <w:kern w:val="0"/>
          <w:szCs w:val="32"/>
        </w:rPr>
        <w:t>（2）倡议性减排措施</w:t>
      </w:r>
    </w:p>
    <w:p>
      <w:pPr>
        <w:spacing w:line="594" w:lineRule="exact"/>
        <w:ind w:firstLine="640"/>
        <w:rPr>
          <w:kern w:val="0"/>
          <w:szCs w:val="32"/>
        </w:rPr>
      </w:pPr>
      <w:r>
        <w:rPr>
          <w:rFonts w:hint="eastAsia"/>
          <w:kern w:val="0"/>
          <w:szCs w:val="32"/>
        </w:rPr>
        <w:t>当地宣传、广电部门等</w:t>
      </w:r>
      <w:r>
        <w:rPr>
          <w:kern w:val="0"/>
          <w:szCs w:val="32"/>
        </w:rPr>
        <w:t>按照预警信息发布途径发布信息建议，倡导公众绿色消费，单位和公众尽量减少含挥发性有机物的涂料、油漆、溶剂等原材料及产品使用；倡导公众绿色出行，鼓励乘坐公交或电动汽车等方式出行</w:t>
      </w:r>
      <w:r>
        <w:rPr>
          <w:rFonts w:hint="eastAsia"/>
        </w:rPr>
        <w:t>；</w:t>
      </w:r>
      <w:r>
        <w:rPr>
          <w:kern w:val="0"/>
          <w:szCs w:val="32"/>
        </w:rPr>
        <w:t>驻车及时熄火，减少车辆原地怠速运行时间；倡导公众绿色生活，节能减排，夏季适当调高、冬季适当调低空调温度。</w:t>
      </w:r>
    </w:p>
    <w:p>
      <w:pPr>
        <w:spacing w:line="594" w:lineRule="exact"/>
        <w:ind w:firstLine="640"/>
        <w:rPr>
          <w:kern w:val="0"/>
          <w:szCs w:val="32"/>
        </w:rPr>
      </w:pPr>
      <w:r>
        <w:rPr>
          <w:rFonts w:hint="eastAsia"/>
          <w:kern w:val="0"/>
          <w:szCs w:val="32"/>
        </w:rPr>
        <w:t>区交通部门协调</w:t>
      </w:r>
      <w:r>
        <w:rPr>
          <w:kern w:val="0"/>
          <w:szCs w:val="32"/>
        </w:rPr>
        <w:t>增加城市主干道公交等公共交通工具的营运频次和营运时间；条件</w:t>
      </w:r>
      <w:r>
        <w:rPr>
          <w:rFonts w:hint="eastAsia"/>
          <w:kern w:val="0"/>
          <w:szCs w:val="32"/>
        </w:rPr>
        <w:t>允许情况下，可适当减</w:t>
      </w:r>
      <w:r>
        <w:rPr>
          <w:kern w:val="0"/>
          <w:szCs w:val="32"/>
        </w:rPr>
        <w:t>免公交乘车费用。</w:t>
      </w:r>
    </w:p>
    <w:p>
      <w:pPr>
        <w:spacing w:line="594" w:lineRule="exact"/>
        <w:ind w:firstLine="640"/>
        <w:rPr>
          <w:kern w:val="0"/>
          <w:szCs w:val="32"/>
        </w:rPr>
      </w:pPr>
      <w:r>
        <w:rPr>
          <w:rFonts w:hint="eastAsia"/>
          <w:kern w:val="0"/>
          <w:szCs w:val="32"/>
        </w:rPr>
        <w:t>区城市管理部门协调</w:t>
      </w:r>
      <w:r>
        <w:rPr>
          <w:kern w:val="0"/>
          <w:szCs w:val="32"/>
        </w:rPr>
        <w:t>暂停开放城市景观灯光，缩短城市路灯开启时间。</w:t>
      </w:r>
    </w:p>
    <w:p>
      <w:pPr>
        <w:spacing w:line="594" w:lineRule="exact"/>
        <w:ind w:firstLine="640"/>
        <w:rPr>
          <w:kern w:val="0"/>
          <w:szCs w:val="32"/>
        </w:rPr>
      </w:pPr>
      <w:r>
        <w:rPr>
          <w:rFonts w:hint="eastAsia"/>
          <w:kern w:val="0"/>
          <w:szCs w:val="32"/>
        </w:rPr>
        <w:t>区生态环境部门协调</w:t>
      </w:r>
      <w:r>
        <w:rPr>
          <w:kern w:val="0"/>
          <w:szCs w:val="32"/>
        </w:rPr>
        <w:t>推行夜间加油优惠，引导车主错峰加油，以减少挥发性有机物排放。</w:t>
      </w:r>
    </w:p>
    <w:p>
      <w:pPr>
        <w:spacing w:line="594" w:lineRule="exact"/>
        <w:ind w:firstLine="640"/>
        <w:rPr>
          <w:kern w:val="0"/>
          <w:szCs w:val="32"/>
        </w:rPr>
      </w:pPr>
      <w:r>
        <w:rPr>
          <w:kern w:val="0"/>
          <w:szCs w:val="32"/>
        </w:rPr>
        <w:t>（3）强制</w:t>
      </w:r>
      <w:r>
        <w:rPr>
          <w:rFonts w:hint="eastAsia"/>
          <w:kern w:val="0"/>
          <w:szCs w:val="32"/>
        </w:rPr>
        <w:t>性</w:t>
      </w:r>
      <w:r>
        <w:rPr>
          <w:kern w:val="0"/>
          <w:szCs w:val="32"/>
        </w:rPr>
        <w:t>减排措施</w:t>
      </w:r>
    </w:p>
    <w:p>
      <w:pPr>
        <w:spacing w:line="594" w:lineRule="exact"/>
        <w:ind w:firstLine="640"/>
        <w:rPr>
          <w:kern w:val="0"/>
          <w:szCs w:val="32"/>
        </w:rPr>
      </w:pPr>
      <w:r>
        <w:rPr>
          <w:kern w:val="0"/>
          <w:szCs w:val="32"/>
        </w:rPr>
        <w:t>臭氧为首要污染物的应急响应期间，在保障城市正常运行的条件下，采取</w:t>
      </w:r>
      <w:r>
        <w:rPr>
          <w:rFonts w:hint="eastAsia"/>
          <w:kern w:val="0"/>
          <w:szCs w:val="32"/>
        </w:rPr>
        <w:t>工业源、移动源、生活源等减排</w:t>
      </w:r>
      <w:r>
        <w:rPr>
          <w:kern w:val="0"/>
          <w:szCs w:val="32"/>
        </w:rPr>
        <w:t>措施</w:t>
      </w:r>
      <w:r>
        <w:rPr>
          <w:rFonts w:hint="eastAsia"/>
          <w:kern w:val="0"/>
          <w:szCs w:val="32"/>
        </w:rPr>
        <w:t>（</w:t>
      </w:r>
      <w:r>
        <w:rPr>
          <w:kern w:val="0"/>
          <w:szCs w:val="32"/>
        </w:rPr>
        <w:t>II级、I级</w:t>
      </w:r>
      <w:r>
        <w:rPr>
          <w:rFonts w:hint="eastAsia"/>
          <w:kern w:val="0"/>
          <w:szCs w:val="32"/>
        </w:rPr>
        <w:t>下同）</w:t>
      </w:r>
      <w:r>
        <w:rPr>
          <w:kern w:val="0"/>
          <w:szCs w:val="32"/>
        </w:rPr>
        <w:t>：</w:t>
      </w:r>
    </w:p>
    <w:p>
      <w:pPr>
        <w:spacing w:line="594" w:lineRule="exact"/>
        <w:ind w:firstLine="640"/>
        <w:rPr>
          <w:kern w:val="0"/>
          <w:szCs w:val="32"/>
          <w:highlight w:val="yellow"/>
        </w:rPr>
      </w:pPr>
      <w:r>
        <w:rPr>
          <w:kern w:val="0"/>
          <w:szCs w:val="32"/>
        </w:rPr>
        <w:t>工业源减排措施。</w:t>
      </w:r>
      <w:r>
        <w:rPr>
          <w:rFonts w:hint="eastAsia"/>
          <w:kern w:val="0"/>
          <w:szCs w:val="32"/>
        </w:rPr>
        <w:t>执行</w:t>
      </w:r>
      <w:r>
        <w:rPr>
          <w:kern w:val="0"/>
          <w:szCs w:val="32"/>
        </w:rPr>
        <w:t>本区域重污染天气</w:t>
      </w:r>
      <w:r>
        <w:rPr>
          <w:rFonts w:hint="eastAsia"/>
          <w:kern w:val="0"/>
          <w:szCs w:val="32"/>
        </w:rPr>
        <w:t>工业源</w:t>
      </w:r>
      <w:r>
        <w:rPr>
          <w:kern w:val="0"/>
          <w:szCs w:val="32"/>
        </w:rPr>
        <w:t>应急减排清单</w:t>
      </w:r>
      <w:r>
        <w:rPr>
          <w:rFonts w:hint="eastAsia"/>
          <w:kern w:val="0"/>
          <w:szCs w:val="32"/>
        </w:rPr>
        <w:t>黄色预警减排措施。</w:t>
      </w:r>
      <w:r>
        <w:rPr>
          <w:kern w:val="0"/>
          <w:szCs w:val="32"/>
        </w:rPr>
        <w:t>采取降低生产负荷、停产、加强污染治理、大宗物料错峰运输等措施实现减排。臭氧为首要污染物的应急响应期间</w:t>
      </w:r>
      <w:r>
        <w:rPr>
          <w:rFonts w:hint="eastAsia"/>
          <w:kern w:val="0"/>
          <w:szCs w:val="32"/>
        </w:rPr>
        <w:t>，还应突出工业涂装、家具制造、印刷包装、电子制造、石化、医药制造、机械加工、铸造、制鞋等企业管控，督促企业强化有机物治理设施运行，减少有机溶剂使用，有条件的应在光化学反应关键时段（8—18时）安排错峰或暂停生产。</w:t>
      </w:r>
    </w:p>
    <w:p>
      <w:pPr>
        <w:spacing w:line="594" w:lineRule="exact"/>
        <w:ind w:firstLine="640"/>
        <w:rPr>
          <w:kern w:val="0"/>
          <w:szCs w:val="32"/>
        </w:rPr>
      </w:pPr>
      <w:r>
        <w:rPr>
          <w:kern w:val="0"/>
          <w:szCs w:val="32"/>
        </w:rPr>
        <w:t>移动源减排措施。</w:t>
      </w:r>
      <w:r>
        <w:rPr>
          <w:rFonts w:hint="eastAsia"/>
          <w:kern w:val="0"/>
          <w:szCs w:val="32"/>
        </w:rPr>
        <w:t>执行</w:t>
      </w:r>
      <w:r>
        <w:rPr>
          <w:kern w:val="0"/>
          <w:szCs w:val="32"/>
        </w:rPr>
        <w:t>本区域重污染天气</w:t>
      </w:r>
      <w:r>
        <w:rPr>
          <w:rFonts w:hint="eastAsia"/>
          <w:kern w:val="0"/>
          <w:szCs w:val="32"/>
        </w:rPr>
        <w:t>移动源</w:t>
      </w:r>
      <w:r>
        <w:rPr>
          <w:kern w:val="0"/>
          <w:szCs w:val="32"/>
        </w:rPr>
        <w:t>应急减排清单</w:t>
      </w:r>
      <w:r>
        <w:rPr>
          <w:rFonts w:hint="eastAsia"/>
          <w:kern w:val="0"/>
          <w:szCs w:val="32"/>
        </w:rPr>
        <w:t>黄色预警减排措施。增加机动车路检、抽检数量和频率，严厉查处冒黑烟车辆及尾气排放超标车辆上路行驶行为。限行区域内全天依法禁行高排放机动车。非道路移动机械（含挖掘机、装载机、平地机、压路机、摊铺机、叉车等）停止使用（电动非道路移动机械除外）。在日常管控的基础上，增加对生产流通领域加油站和油库车用油品环保指标的检查频次，严厉打击销售不合格油品行为。</w:t>
      </w:r>
    </w:p>
    <w:p>
      <w:pPr>
        <w:spacing w:line="594" w:lineRule="exact"/>
        <w:ind w:firstLine="640"/>
        <w:rPr>
          <w:kern w:val="0"/>
          <w:szCs w:val="32"/>
        </w:rPr>
      </w:pPr>
      <w:r>
        <w:rPr>
          <w:rFonts w:hint="eastAsia"/>
          <w:kern w:val="0"/>
          <w:szCs w:val="32"/>
        </w:rPr>
        <w:t>生活源减排措施。</w:t>
      </w:r>
      <w:r>
        <w:rPr>
          <w:kern w:val="0"/>
          <w:szCs w:val="32"/>
        </w:rPr>
        <w:t>增加对餐饮油烟净化设施、汽修喷涂作业、干洗行业等生活源的检查与执法力度。</w:t>
      </w:r>
      <w:r>
        <w:rPr>
          <w:rFonts w:hint="eastAsia"/>
          <w:kern w:val="0"/>
          <w:szCs w:val="32"/>
        </w:rPr>
        <w:t>以</w:t>
      </w:r>
      <w:r>
        <w:rPr>
          <w:kern w:val="0"/>
          <w:szCs w:val="32"/>
        </w:rPr>
        <w:t>臭氧为首要污染物的应急响应期间</w:t>
      </w:r>
      <w:r>
        <w:rPr>
          <w:rFonts w:hint="eastAsia"/>
          <w:kern w:val="0"/>
          <w:szCs w:val="32"/>
        </w:rPr>
        <w:t>，在光化学反应关键时段（8—18时）应避免开展外立面改造、道路沥青铺设、市政设施维护、交通标志标线刷漆等涉VOCs排放作业。确需施工的，实施精细化管控，并使用水性涂料等低VOCs含量的涂料。</w:t>
      </w:r>
    </w:p>
    <w:p>
      <w:pPr>
        <w:spacing w:line="594" w:lineRule="exact"/>
        <w:ind w:firstLine="640"/>
        <w:rPr>
          <w:kern w:val="0"/>
          <w:szCs w:val="32"/>
        </w:rPr>
      </w:pPr>
      <w:r>
        <w:rPr>
          <w:rFonts w:hint="eastAsia"/>
          <w:kern w:val="0"/>
          <w:szCs w:val="32"/>
        </w:rPr>
        <w:t>细颗粒物</w:t>
      </w:r>
      <w:r>
        <w:rPr>
          <w:kern w:val="0"/>
          <w:szCs w:val="32"/>
        </w:rPr>
        <w:t>为首要污染物的应急响应期间，</w:t>
      </w:r>
      <w:r>
        <w:rPr>
          <w:rFonts w:hint="eastAsia"/>
          <w:kern w:val="0"/>
          <w:szCs w:val="32"/>
        </w:rPr>
        <w:t>在臭氧应急</w:t>
      </w:r>
      <w:r>
        <w:rPr>
          <w:kern w:val="0"/>
          <w:szCs w:val="32"/>
        </w:rPr>
        <w:t>响应措施的基础上增加</w:t>
      </w:r>
      <w:r>
        <w:rPr>
          <w:rFonts w:hint="eastAsia"/>
          <w:kern w:val="0"/>
          <w:szCs w:val="32"/>
        </w:rPr>
        <w:t>扬尘源和其他减排</w:t>
      </w:r>
      <w:r>
        <w:rPr>
          <w:kern w:val="0"/>
          <w:szCs w:val="32"/>
        </w:rPr>
        <w:t>措施：</w:t>
      </w:r>
    </w:p>
    <w:p>
      <w:pPr>
        <w:spacing w:line="594" w:lineRule="exact"/>
        <w:ind w:firstLine="640"/>
        <w:rPr>
          <w:kern w:val="0"/>
          <w:szCs w:val="32"/>
        </w:rPr>
      </w:pPr>
      <w:r>
        <w:rPr>
          <w:kern w:val="0"/>
          <w:szCs w:val="32"/>
        </w:rPr>
        <w:t>扬尘源减排措施。</w:t>
      </w:r>
      <w:r>
        <w:rPr>
          <w:rFonts w:hint="eastAsia"/>
          <w:kern w:val="0"/>
          <w:szCs w:val="32"/>
        </w:rPr>
        <w:t>执行</w:t>
      </w:r>
      <w:r>
        <w:rPr>
          <w:kern w:val="0"/>
          <w:szCs w:val="32"/>
        </w:rPr>
        <w:t>本区域重污染天气</w:t>
      </w:r>
      <w:r>
        <w:rPr>
          <w:rFonts w:hint="eastAsia"/>
          <w:kern w:val="0"/>
          <w:szCs w:val="32"/>
        </w:rPr>
        <w:t>扬尘源</w:t>
      </w:r>
      <w:r>
        <w:rPr>
          <w:kern w:val="0"/>
          <w:szCs w:val="32"/>
        </w:rPr>
        <w:t>应急减排清单</w:t>
      </w:r>
      <w:r>
        <w:rPr>
          <w:rFonts w:hint="eastAsia"/>
          <w:kern w:val="0"/>
          <w:szCs w:val="32"/>
        </w:rPr>
        <w:t>黄色预警减排措施。</w:t>
      </w:r>
      <w:r>
        <w:rPr>
          <w:kern w:val="0"/>
          <w:szCs w:val="32"/>
        </w:rPr>
        <w:t>依法禁止从事土石方施工和房屋拆除施工作业；依法暂停预拌混凝土搅拌站、易产生扬尘污染的物料码头生产作业，并做好场地洒水降尘工作；禁止无密闭措施运输车辆在内环快速路以内区域行驶。在日常管控的基础上，增加对施工扬尘、渣土消纳场扬尘、道路扬尘等的检查频次。施工现场和重点企业煤、焦、渣、沙石等生产经营现场</w:t>
      </w:r>
      <w:r>
        <w:rPr>
          <w:rFonts w:hint="eastAsia"/>
          <w:kern w:val="0"/>
          <w:szCs w:val="32"/>
        </w:rPr>
        <w:t>洒水冲洗频次</w:t>
      </w:r>
      <w:r>
        <w:rPr>
          <w:rFonts w:hint="eastAsia"/>
        </w:rPr>
        <w:t>，</w:t>
      </w:r>
      <w:r>
        <w:rPr>
          <w:rFonts w:hint="eastAsia"/>
          <w:kern w:val="0"/>
          <w:szCs w:val="32"/>
        </w:rPr>
        <w:t>每日不少于3次</w:t>
      </w:r>
      <w:r>
        <w:rPr>
          <w:rFonts w:hint="eastAsia"/>
          <w:kern w:val="0"/>
          <w:szCs w:val="32"/>
          <w:lang w:eastAsia="zh-CN"/>
        </w:rPr>
        <w:t>；城市道路保持湿润。</w:t>
      </w:r>
    </w:p>
    <w:p>
      <w:pPr>
        <w:spacing w:line="594" w:lineRule="exact"/>
        <w:ind w:firstLine="640"/>
      </w:pPr>
      <w:r>
        <w:rPr>
          <w:kern w:val="0"/>
          <w:szCs w:val="32"/>
        </w:rPr>
        <w:t>其他减排措施。依法禁止违规露天燃烧</w:t>
      </w:r>
      <w:r>
        <w:rPr>
          <w:rFonts w:hint="eastAsia"/>
          <w:kern w:val="0"/>
          <w:szCs w:val="32"/>
        </w:rPr>
        <w:t>农业废弃物</w:t>
      </w:r>
      <w:r>
        <w:rPr>
          <w:kern w:val="0"/>
          <w:szCs w:val="32"/>
        </w:rPr>
        <w:t>、城市清扫废物、园林</w:t>
      </w:r>
      <w:r>
        <w:rPr>
          <w:rFonts w:hint="eastAsia"/>
          <w:kern w:val="0"/>
          <w:szCs w:val="32"/>
        </w:rPr>
        <w:t>废弃物</w:t>
      </w:r>
      <w:r>
        <w:rPr>
          <w:kern w:val="0"/>
          <w:szCs w:val="32"/>
        </w:rPr>
        <w:t>、建筑废弃物、罚没品等</w:t>
      </w:r>
      <w:r>
        <w:rPr>
          <w:rFonts w:hint="eastAsia"/>
          <w:kern w:val="0"/>
          <w:szCs w:val="32"/>
        </w:rPr>
        <w:t>。</w:t>
      </w:r>
      <w:r>
        <w:rPr>
          <w:kern w:val="0"/>
          <w:szCs w:val="32"/>
        </w:rPr>
        <w:t>根据《重庆市燃放烟花爆竹管理条例》依法限制或禁止烟花爆竹燃放，相关部门加大对违规行为的检查与执法力度。</w:t>
      </w:r>
      <w:r>
        <w:rPr>
          <w:rFonts w:hint="eastAsia"/>
          <w:kern w:val="0"/>
          <w:szCs w:val="32"/>
        </w:rPr>
        <w:t>条件允许情况下采取</w:t>
      </w:r>
      <w:r>
        <w:rPr>
          <w:kern w:val="0"/>
          <w:szCs w:val="32"/>
        </w:rPr>
        <w:t>人工增雨</w:t>
      </w:r>
      <w:r>
        <w:rPr>
          <w:rFonts w:hint="eastAsia"/>
          <w:kern w:val="0"/>
          <w:szCs w:val="32"/>
        </w:rPr>
        <w:t>等气象干预措施</w:t>
      </w:r>
      <w:r>
        <w:rPr>
          <w:kern w:val="0"/>
          <w:szCs w:val="32"/>
        </w:rPr>
        <w:t>。</w:t>
      </w:r>
    </w:p>
    <w:p>
      <w:pPr>
        <w:spacing w:line="594" w:lineRule="exact"/>
        <w:ind w:firstLine="640"/>
        <w:rPr>
          <w:kern w:val="0"/>
          <w:szCs w:val="32"/>
        </w:rPr>
      </w:pPr>
      <w:bookmarkStart w:id="107" w:name="_Toc95922320"/>
      <w:r>
        <w:rPr>
          <w:kern w:val="0"/>
          <w:szCs w:val="32"/>
        </w:rPr>
        <w:t>4.2.3 Ⅱ级响应措施</w:t>
      </w:r>
      <w:bookmarkEnd w:id="107"/>
    </w:p>
    <w:p>
      <w:pPr>
        <w:spacing w:line="594" w:lineRule="exact"/>
        <w:ind w:firstLine="640"/>
        <w:rPr>
          <w:kern w:val="0"/>
          <w:szCs w:val="32"/>
        </w:rPr>
      </w:pPr>
      <w:r>
        <w:rPr>
          <w:kern w:val="0"/>
          <w:szCs w:val="32"/>
        </w:rPr>
        <w:t>在Ⅲ级响应措施的基础上增加或强化以下措施：</w:t>
      </w:r>
    </w:p>
    <w:p>
      <w:pPr>
        <w:spacing w:line="594" w:lineRule="exact"/>
        <w:ind w:firstLine="640"/>
        <w:rPr>
          <w:kern w:val="0"/>
          <w:szCs w:val="32"/>
        </w:rPr>
      </w:pPr>
      <w:r>
        <w:rPr>
          <w:kern w:val="0"/>
          <w:szCs w:val="32"/>
        </w:rPr>
        <w:t>（1）倡议性减排措施</w:t>
      </w:r>
    </w:p>
    <w:p>
      <w:pPr>
        <w:spacing w:line="594" w:lineRule="exact"/>
        <w:ind w:firstLine="640"/>
        <w:rPr>
          <w:kern w:val="0"/>
          <w:szCs w:val="32"/>
        </w:rPr>
      </w:pPr>
      <w:r>
        <w:rPr>
          <w:rFonts w:hint="eastAsia"/>
          <w:kern w:val="0"/>
          <w:szCs w:val="32"/>
        </w:rPr>
        <w:t>指导</w:t>
      </w:r>
      <w:r>
        <w:rPr>
          <w:kern w:val="0"/>
          <w:szCs w:val="32"/>
        </w:rPr>
        <w:t>企事业单位根据重污染天气实际情况、应急响应措施，采取调休、错峰上下班、远程办公等弹性工作制。</w:t>
      </w:r>
    </w:p>
    <w:p>
      <w:pPr>
        <w:spacing w:line="594" w:lineRule="exact"/>
        <w:ind w:firstLine="640"/>
        <w:rPr>
          <w:kern w:val="0"/>
          <w:szCs w:val="32"/>
        </w:rPr>
      </w:pPr>
      <w:r>
        <w:rPr>
          <w:kern w:val="0"/>
          <w:szCs w:val="32"/>
        </w:rPr>
        <w:t>（2）强制性减排措施</w:t>
      </w:r>
    </w:p>
    <w:p>
      <w:pPr>
        <w:spacing w:line="594" w:lineRule="exact"/>
        <w:ind w:firstLine="640"/>
        <w:rPr>
          <w:kern w:val="0"/>
          <w:szCs w:val="32"/>
        </w:rPr>
      </w:pPr>
      <w:r>
        <w:rPr>
          <w:kern w:val="0"/>
          <w:szCs w:val="32"/>
        </w:rPr>
        <w:t>在保障城市正常运行的条件下，采取以下措施：</w:t>
      </w:r>
    </w:p>
    <w:p>
      <w:pPr>
        <w:spacing w:line="594" w:lineRule="exact"/>
        <w:ind w:firstLine="640"/>
        <w:rPr>
          <w:kern w:val="0"/>
          <w:szCs w:val="32"/>
        </w:rPr>
      </w:pPr>
      <w:r>
        <w:rPr>
          <w:kern w:val="0"/>
          <w:szCs w:val="32"/>
        </w:rPr>
        <w:t>工业源减排措施。</w:t>
      </w:r>
      <w:r>
        <w:rPr>
          <w:rFonts w:hint="eastAsia"/>
          <w:kern w:val="0"/>
          <w:szCs w:val="32"/>
        </w:rPr>
        <w:t>执行</w:t>
      </w:r>
      <w:r>
        <w:rPr>
          <w:kern w:val="0"/>
          <w:szCs w:val="32"/>
        </w:rPr>
        <w:t>本区域重污染天气</w:t>
      </w:r>
      <w:r>
        <w:rPr>
          <w:rFonts w:hint="eastAsia"/>
          <w:kern w:val="0"/>
          <w:szCs w:val="32"/>
        </w:rPr>
        <w:t>工业源</w:t>
      </w:r>
      <w:r>
        <w:rPr>
          <w:kern w:val="0"/>
          <w:szCs w:val="32"/>
        </w:rPr>
        <w:t>应急减排清单</w:t>
      </w:r>
      <w:r>
        <w:rPr>
          <w:rFonts w:hint="eastAsia"/>
          <w:kern w:val="0"/>
          <w:szCs w:val="32"/>
        </w:rPr>
        <w:t>橙色预警减排措施。</w:t>
      </w:r>
      <w:r>
        <w:rPr>
          <w:kern w:val="0"/>
          <w:szCs w:val="32"/>
        </w:rPr>
        <w:t>针对涉气工序停限产或提高污染治理设施运行效率等方式实现减排。</w:t>
      </w:r>
    </w:p>
    <w:p>
      <w:pPr>
        <w:spacing w:line="594" w:lineRule="exact"/>
        <w:ind w:firstLine="640"/>
        <w:rPr>
          <w:kern w:val="0"/>
          <w:szCs w:val="32"/>
        </w:rPr>
      </w:pPr>
      <w:r>
        <w:rPr>
          <w:kern w:val="0"/>
          <w:szCs w:val="32"/>
        </w:rPr>
        <w:t>扬尘源减排措施。</w:t>
      </w:r>
      <w:r>
        <w:rPr>
          <w:rFonts w:hint="eastAsia"/>
          <w:kern w:val="0"/>
          <w:szCs w:val="32"/>
        </w:rPr>
        <w:t>执行</w:t>
      </w:r>
      <w:r>
        <w:rPr>
          <w:kern w:val="0"/>
          <w:szCs w:val="32"/>
        </w:rPr>
        <w:t>本区域重污染天气</w:t>
      </w:r>
      <w:r>
        <w:rPr>
          <w:rFonts w:hint="eastAsia"/>
          <w:kern w:val="0"/>
          <w:szCs w:val="32"/>
        </w:rPr>
        <w:t>扬尘源</w:t>
      </w:r>
      <w:r>
        <w:rPr>
          <w:kern w:val="0"/>
          <w:szCs w:val="32"/>
        </w:rPr>
        <w:t>应急减排清单</w:t>
      </w:r>
      <w:r>
        <w:rPr>
          <w:rFonts w:hint="eastAsia"/>
          <w:kern w:val="0"/>
          <w:szCs w:val="32"/>
        </w:rPr>
        <w:t>橙色预警减排措施。</w:t>
      </w:r>
      <w:r>
        <w:rPr>
          <w:kern w:val="0"/>
          <w:szCs w:val="32"/>
        </w:rPr>
        <w:t>依法禁止所有园林绿化、道路开挖等室外施工作业。依法禁止所有渣土消纳场接纳渣土或进行场内渣土转运和挖掘施工作业。进一步加强施工扬尘环境监管和执法检查工作，督促施工单位停工。进一步加强对产生扬尘、粉尘、烟尘等重点企业的煤、焦、渣、沙石等堆场实施覆盖或者不间断喷淋等控尘措施情况的检查</w:t>
      </w:r>
      <w:r>
        <w:rPr>
          <w:rFonts w:hint="eastAsia"/>
          <w:kern w:val="0"/>
          <w:szCs w:val="32"/>
        </w:rPr>
        <w:t>。</w:t>
      </w:r>
      <w:r>
        <w:rPr>
          <w:kern w:val="0"/>
          <w:szCs w:val="32"/>
        </w:rPr>
        <w:t>建筑工地对料堆、土堆增加洒水和喷淋频次或采取覆盖措施。</w:t>
      </w:r>
      <w:r>
        <w:rPr>
          <w:rFonts w:hint="eastAsia"/>
          <w:kern w:val="0"/>
          <w:szCs w:val="32"/>
        </w:rPr>
        <w:t>施工现场和重点企业煤、焦、渣、沙石等生产经营现场洒水冲洗频次，每日不少于4次；城市道路洒水冲洗频次，每日不少于4次，增加</w:t>
      </w:r>
      <w:r>
        <w:rPr>
          <w:kern w:val="0"/>
          <w:szCs w:val="32"/>
        </w:rPr>
        <w:t>夜间</w:t>
      </w:r>
      <w:r>
        <w:rPr>
          <w:rFonts w:hint="eastAsia"/>
          <w:kern w:val="0"/>
          <w:szCs w:val="32"/>
        </w:rPr>
        <w:t>洒水</w:t>
      </w:r>
      <w:r>
        <w:rPr>
          <w:kern w:val="0"/>
          <w:szCs w:val="32"/>
        </w:rPr>
        <w:t>冲洗作业</w:t>
      </w:r>
      <w:r>
        <w:rPr>
          <w:rFonts w:hint="eastAsia"/>
          <w:kern w:val="0"/>
          <w:szCs w:val="32"/>
          <w:lang w:eastAsia="zh-CN"/>
        </w:rPr>
        <w:t>，保持道路路面湿润</w:t>
      </w:r>
      <w:r>
        <w:rPr>
          <w:kern w:val="0"/>
          <w:szCs w:val="32"/>
        </w:rPr>
        <w:t>。</w:t>
      </w:r>
    </w:p>
    <w:p>
      <w:pPr>
        <w:spacing w:line="594" w:lineRule="exact"/>
        <w:ind w:firstLine="640"/>
        <w:rPr>
          <w:kern w:val="0"/>
          <w:szCs w:val="32"/>
        </w:rPr>
      </w:pPr>
      <w:r>
        <w:rPr>
          <w:kern w:val="0"/>
          <w:szCs w:val="32"/>
        </w:rPr>
        <w:t>移动源减排措施。</w:t>
      </w:r>
      <w:r>
        <w:rPr>
          <w:rFonts w:hint="eastAsia"/>
          <w:kern w:val="0"/>
          <w:szCs w:val="32"/>
        </w:rPr>
        <w:t>执行</w:t>
      </w:r>
      <w:r>
        <w:rPr>
          <w:kern w:val="0"/>
          <w:szCs w:val="32"/>
        </w:rPr>
        <w:t>本区域重污染天气</w:t>
      </w:r>
      <w:r>
        <w:rPr>
          <w:rFonts w:hint="eastAsia"/>
          <w:kern w:val="0"/>
          <w:szCs w:val="32"/>
        </w:rPr>
        <w:t>移动源</w:t>
      </w:r>
      <w:r>
        <w:rPr>
          <w:kern w:val="0"/>
          <w:szCs w:val="32"/>
        </w:rPr>
        <w:t>应急减排清单</w:t>
      </w:r>
      <w:r>
        <w:rPr>
          <w:rFonts w:hint="eastAsia"/>
          <w:kern w:val="0"/>
          <w:szCs w:val="32"/>
        </w:rPr>
        <w:t>橙色预警减排措施。</w:t>
      </w:r>
      <w:r>
        <w:rPr>
          <w:kern w:val="0"/>
          <w:szCs w:val="32"/>
        </w:rPr>
        <w:t>依法禁止高排放机动车在绕城高速公路以内区域的城市道路行驶。根据大气污染状况视情实施特定区域机动车单双号限行。</w:t>
      </w:r>
      <w:r>
        <w:rPr>
          <w:rFonts w:hint="eastAsia"/>
          <w:kern w:val="0"/>
          <w:szCs w:val="32"/>
        </w:rPr>
        <w:t>指导</w:t>
      </w:r>
      <w:r>
        <w:rPr>
          <w:kern w:val="0"/>
          <w:szCs w:val="32"/>
        </w:rPr>
        <w:t>党政机关和事业单位</w:t>
      </w:r>
      <w:r>
        <w:rPr>
          <w:rFonts w:hint="eastAsia"/>
          <w:kern w:val="0"/>
          <w:szCs w:val="32"/>
        </w:rPr>
        <w:t>减少</w:t>
      </w:r>
      <w:r>
        <w:rPr>
          <w:kern w:val="0"/>
          <w:szCs w:val="32"/>
        </w:rPr>
        <w:t>公务车辆</w:t>
      </w:r>
      <w:r>
        <w:rPr>
          <w:rFonts w:hint="eastAsia"/>
          <w:kern w:val="0"/>
          <w:szCs w:val="32"/>
        </w:rPr>
        <w:t>使用</w:t>
      </w:r>
      <w:r>
        <w:rPr>
          <w:kern w:val="0"/>
          <w:szCs w:val="32"/>
        </w:rPr>
        <w:t>。</w:t>
      </w:r>
      <w:r>
        <w:rPr>
          <w:rFonts w:hint="eastAsia"/>
          <w:kern w:val="0"/>
          <w:szCs w:val="32"/>
        </w:rPr>
        <w:t>交通部门</w:t>
      </w:r>
      <w:r>
        <w:rPr>
          <w:kern w:val="0"/>
          <w:szCs w:val="32"/>
        </w:rPr>
        <w:t>适时调整公共交通运输能力，保障市民出行。</w:t>
      </w:r>
    </w:p>
    <w:p>
      <w:pPr>
        <w:tabs>
          <w:tab w:val="center" w:pos="4742"/>
        </w:tabs>
        <w:spacing w:line="594" w:lineRule="exact"/>
        <w:ind w:firstLine="640"/>
        <w:rPr>
          <w:kern w:val="0"/>
          <w:szCs w:val="32"/>
        </w:rPr>
      </w:pPr>
      <w:bookmarkStart w:id="108" w:name="_Toc95922321"/>
      <w:r>
        <w:rPr>
          <w:kern w:val="0"/>
          <w:szCs w:val="32"/>
        </w:rPr>
        <w:t>4.2.4 Ⅰ级响应措施</w:t>
      </w:r>
      <w:bookmarkEnd w:id="108"/>
      <w:r>
        <w:rPr>
          <w:kern w:val="0"/>
          <w:szCs w:val="32"/>
        </w:rPr>
        <w:tab/>
      </w:r>
    </w:p>
    <w:p>
      <w:pPr>
        <w:spacing w:line="594" w:lineRule="exact"/>
        <w:ind w:firstLine="640"/>
        <w:rPr>
          <w:kern w:val="0"/>
          <w:szCs w:val="32"/>
        </w:rPr>
      </w:pPr>
      <w:r>
        <w:rPr>
          <w:kern w:val="0"/>
          <w:szCs w:val="32"/>
        </w:rPr>
        <w:t>在Ⅱ级响应措施的基础上增加或强化以下措施：</w:t>
      </w:r>
    </w:p>
    <w:p>
      <w:pPr>
        <w:spacing w:line="594" w:lineRule="exact"/>
        <w:ind w:firstLine="640"/>
        <w:rPr>
          <w:kern w:val="0"/>
          <w:szCs w:val="32"/>
        </w:rPr>
      </w:pPr>
      <w:r>
        <w:rPr>
          <w:kern w:val="0"/>
          <w:szCs w:val="32"/>
        </w:rPr>
        <w:t>（1）健康防护措施</w:t>
      </w:r>
    </w:p>
    <w:p>
      <w:pPr>
        <w:spacing w:line="594" w:lineRule="exact"/>
        <w:ind w:firstLine="640"/>
        <w:rPr>
          <w:kern w:val="0"/>
          <w:szCs w:val="32"/>
        </w:rPr>
      </w:pPr>
      <w:r>
        <w:rPr>
          <w:kern w:val="0"/>
          <w:szCs w:val="32"/>
        </w:rPr>
        <w:t>当地教育部门指导幼儿园</w:t>
      </w:r>
      <w:r>
        <w:rPr>
          <w:rFonts w:hint="eastAsia"/>
          <w:kern w:val="0"/>
          <w:szCs w:val="32"/>
        </w:rPr>
        <w:t>和</w:t>
      </w:r>
      <w:r>
        <w:rPr>
          <w:kern w:val="0"/>
          <w:szCs w:val="32"/>
        </w:rPr>
        <w:t>中小学校依法取消学生户外活动或停课，可通过远程教育等方式安排学生在家学习。</w:t>
      </w:r>
    </w:p>
    <w:p>
      <w:pPr>
        <w:spacing w:line="594" w:lineRule="exact"/>
        <w:ind w:firstLine="640"/>
        <w:rPr>
          <w:kern w:val="0"/>
          <w:szCs w:val="32"/>
        </w:rPr>
      </w:pPr>
      <w:r>
        <w:rPr>
          <w:kern w:val="0"/>
          <w:szCs w:val="32"/>
        </w:rPr>
        <w:t>（2）强制性减排措施</w:t>
      </w:r>
    </w:p>
    <w:p>
      <w:pPr>
        <w:spacing w:line="594" w:lineRule="exact"/>
        <w:ind w:firstLine="640"/>
        <w:rPr>
          <w:kern w:val="0"/>
          <w:szCs w:val="32"/>
        </w:rPr>
      </w:pPr>
      <w:r>
        <w:rPr>
          <w:kern w:val="0"/>
          <w:szCs w:val="32"/>
        </w:rPr>
        <w:t>在保障城市正常运行的条件下，采取以下措施：</w:t>
      </w:r>
    </w:p>
    <w:p>
      <w:pPr>
        <w:spacing w:line="594" w:lineRule="exact"/>
        <w:ind w:firstLine="640"/>
        <w:rPr>
          <w:kern w:val="0"/>
          <w:szCs w:val="32"/>
        </w:rPr>
      </w:pPr>
      <w:r>
        <w:rPr>
          <w:kern w:val="0"/>
          <w:szCs w:val="32"/>
        </w:rPr>
        <w:t>工业源减排措施。</w:t>
      </w:r>
      <w:r>
        <w:rPr>
          <w:rFonts w:hint="eastAsia"/>
          <w:kern w:val="0"/>
          <w:szCs w:val="32"/>
        </w:rPr>
        <w:t>执行</w:t>
      </w:r>
      <w:r>
        <w:rPr>
          <w:kern w:val="0"/>
          <w:szCs w:val="32"/>
        </w:rPr>
        <w:t>本区域重污染天气</w:t>
      </w:r>
      <w:r>
        <w:rPr>
          <w:rFonts w:hint="eastAsia"/>
          <w:kern w:val="0"/>
          <w:szCs w:val="32"/>
        </w:rPr>
        <w:t>工业源</w:t>
      </w:r>
      <w:r>
        <w:rPr>
          <w:kern w:val="0"/>
          <w:szCs w:val="32"/>
        </w:rPr>
        <w:t>应急减排清单</w:t>
      </w:r>
      <w:r>
        <w:rPr>
          <w:rFonts w:hint="eastAsia"/>
          <w:kern w:val="0"/>
          <w:szCs w:val="32"/>
        </w:rPr>
        <w:t>红色预警减排措施。</w:t>
      </w:r>
      <w:r>
        <w:rPr>
          <w:kern w:val="0"/>
          <w:szCs w:val="32"/>
        </w:rPr>
        <w:t>列入年度落后产能淘汰计划的排放大气污染物企业全部依法停产。</w:t>
      </w:r>
    </w:p>
    <w:p>
      <w:pPr>
        <w:spacing w:line="594" w:lineRule="exact"/>
        <w:ind w:firstLine="640"/>
        <w:rPr>
          <w:kern w:val="0"/>
          <w:szCs w:val="32"/>
        </w:rPr>
      </w:pPr>
      <w:r>
        <w:rPr>
          <w:rFonts w:hint="eastAsia"/>
          <w:kern w:val="0"/>
          <w:szCs w:val="32"/>
        </w:rPr>
        <w:t>扬尘</w:t>
      </w:r>
      <w:r>
        <w:rPr>
          <w:kern w:val="0"/>
          <w:szCs w:val="32"/>
        </w:rPr>
        <w:t>源减排措施。</w:t>
      </w:r>
      <w:r>
        <w:rPr>
          <w:rFonts w:hint="eastAsia"/>
          <w:kern w:val="0"/>
          <w:szCs w:val="32"/>
        </w:rPr>
        <w:t>执行</w:t>
      </w:r>
      <w:r>
        <w:rPr>
          <w:kern w:val="0"/>
          <w:szCs w:val="32"/>
        </w:rPr>
        <w:t>本区域重污染天气</w:t>
      </w:r>
      <w:r>
        <w:rPr>
          <w:rFonts w:hint="eastAsia"/>
          <w:kern w:val="0"/>
          <w:szCs w:val="32"/>
        </w:rPr>
        <w:t>扬尘源</w:t>
      </w:r>
      <w:r>
        <w:rPr>
          <w:kern w:val="0"/>
          <w:szCs w:val="32"/>
        </w:rPr>
        <w:t>应急减排清单</w:t>
      </w:r>
      <w:r>
        <w:rPr>
          <w:rFonts w:hint="eastAsia"/>
          <w:kern w:val="0"/>
          <w:szCs w:val="32"/>
        </w:rPr>
        <w:t>红色预警减排措施。</w:t>
      </w:r>
    </w:p>
    <w:p>
      <w:pPr>
        <w:spacing w:line="594" w:lineRule="exact"/>
        <w:ind w:firstLine="640"/>
        <w:rPr>
          <w:kern w:val="0"/>
          <w:szCs w:val="32"/>
        </w:rPr>
      </w:pPr>
      <w:r>
        <w:rPr>
          <w:rFonts w:hint="eastAsia"/>
          <w:kern w:val="0"/>
          <w:szCs w:val="32"/>
        </w:rPr>
        <w:t>移动</w:t>
      </w:r>
      <w:r>
        <w:rPr>
          <w:kern w:val="0"/>
          <w:szCs w:val="32"/>
        </w:rPr>
        <w:t>源减排措施。</w:t>
      </w:r>
      <w:r>
        <w:rPr>
          <w:rFonts w:hint="eastAsia"/>
          <w:kern w:val="0"/>
          <w:szCs w:val="32"/>
        </w:rPr>
        <w:t>执行</w:t>
      </w:r>
      <w:r>
        <w:rPr>
          <w:kern w:val="0"/>
          <w:szCs w:val="32"/>
        </w:rPr>
        <w:t>本区域重污染天气</w:t>
      </w:r>
      <w:r>
        <w:rPr>
          <w:rFonts w:hint="eastAsia"/>
          <w:kern w:val="0"/>
          <w:szCs w:val="32"/>
        </w:rPr>
        <w:t>移动源</w:t>
      </w:r>
      <w:r>
        <w:rPr>
          <w:kern w:val="0"/>
          <w:szCs w:val="32"/>
        </w:rPr>
        <w:t>应急减排清单</w:t>
      </w:r>
      <w:r>
        <w:rPr>
          <w:rFonts w:hint="eastAsia"/>
          <w:kern w:val="0"/>
          <w:szCs w:val="32"/>
        </w:rPr>
        <w:t>红色预警减排措施。交通部门协调</w:t>
      </w:r>
      <w:r>
        <w:rPr>
          <w:kern w:val="0"/>
          <w:szCs w:val="32"/>
        </w:rPr>
        <w:t>实施持公交一卡通乘坐城市公交全天免费。</w:t>
      </w:r>
    </w:p>
    <w:p>
      <w:pPr>
        <w:pStyle w:val="2"/>
        <w:ind w:firstLine="640"/>
      </w:pPr>
      <w:bookmarkStart w:id="109" w:name="_Toc90560917"/>
      <w:bookmarkStart w:id="110" w:name="_Toc101966217"/>
      <w:bookmarkStart w:id="111" w:name="_Toc95922322"/>
      <w:r>
        <w:t>5</w:t>
      </w:r>
      <w:bookmarkEnd w:id="109"/>
      <w:r>
        <w:t xml:space="preserve"> 信息公开</w:t>
      </w:r>
      <w:bookmarkEnd w:id="110"/>
      <w:bookmarkEnd w:id="111"/>
    </w:p>
    <w:p>
      <w:pPr>
        <w:pStyle w:val="3"/>
        <w:ind w:firstLine="640"/>
      </w:pPr>
      <w:bookmarkStart w:id="112" w:name="_Toc16259"/>
      <w:bookmarkStart w:id="113" w:name="_Toc90560916"/>
      <w:bookmarkStart w:id="114" w:name="_Toc2513"/>
      <w:bookmarkStart w:id="115" w:name="_Toc89243584"/>
      <w:bookmarkStart w:id="116" w:name="_Toc95922323"/>
      <w:bookmarkStart w:id="117" w:name="_Toc101966218"/>
      <w:r>
        <w:t xml:space="preserve">5.1 </w:t>
      </w:r>
      <w:bookmarkEnd w:id="112"/>
      <w:bookmarkEnd w:id="113"/>
      <w:bookmarkEnd w:id="114"/>
      <w:bookmarkEnd w:id="115"/>
      <w:r>
        <w:t>应急</w:t>
      </w:r>
      <w:r>
        <w:rPr>
          <w:rFonts w:hint="eastAsia"/>
        </w:rPr>
        <w:t>响应报告</w:t>
      </w:r>
      <w:r>
        <w:t>和通报</w:t>
      </w:r>
      <w:bookmarkEnd w:id="116"/>
      <w:bookmarkEnd w:id="117"/>
    </w:p>
    <w:p>
      <w:pPr>
        <w:spacing w:line="594" w:lineRule="exact"/>
        <w:ind w:firstLine="640"/>
        <w:rPr>
          <w:kern w:val="0"/>
          <w:szCs w:val="32"/>
        </w:rPr>
      </w:pPr>
      <w:r>
        <w:rPr>
          <w:kern w:val="0"/>
          <w:szCs w:val="32"/>
        </w:rPr>
        <w:t>应在重污染天气预警发布、调整和解除后1天内将相关信息报市指挥部办公室。发生重污染天气，视情况向周边</w:t>
      </w:r>
      <w:r>
        <w:rPr>
          <w:rFonts w:hint="eastAsia"/>
          <w:kern w:val="0"/>
          <w:szCs w:val="32"/>
        </w:rPr>
        <w:t>区县或</w:t>
      </w:r>
      <w:r>
        <w:rPr>
          <w:kern w:val="0"/>
          <w:szCs w:val="32"/>
        </w:rPr>
        <w:t>城市通报有关情况。</w:t>
      </w:r>
    </w:p>
    <w:p>
      <w:pPr>
        <w:spacing w:line="594" w:lineRule="exact"/>
        <w:ind w:firstLine="640"/>
        <w:rPr>
          <w:kern w:val="0"/>
          <w:szCs w:val="32"/>
        </w:rPr>
      </w:pPr>
      <w:r>
        <w:rPr>
          <w:rFonts w:hint="eastAsia"/>
          <w:kern w:val="0"/>
          <w:szCs w:val="32"/>
        </w:rPr>
        <w:t>区</w:t>
      </w:r>
      <w:r>
        <w:rPr>
          <w:kern w:val="0"/>
          <w:szCs w:val="32"/>
        </w:rPr>
        <w:t>指挥部办公室根据实时监测、预警预报、应急响应等情况，及时向</w:t>
      </w:r>
      <w:r>
        <w:rPr>
          <w:rFonts w:hint="eastAsia"/>
          <w:kern w:val="0"/>
          <w:szCs w:val="32"/>
        </w:rPr>
        <w:t>区</w:t>
      </w:r>
      <w:r>
        <w:rPr>
          <w:kern w:val="0"/>
          <w:szCs w:val="32"/>
        </w:rPr>
        <w:t>指挥部各成员单位和有关区县政府通报情况，并根据实际需要，加强与四川</w:t>
      </w:r>
      <w:r>
        <w:rPr>
          <w:rFonts w:hint="eastAsia"/>
          <w:kern w:val="0"/>
          <w:szCs w:val="32"/>
          <w:lang w:eastAsia="zh-CN"/>
        </w:rPr>
        <w:t>省广安市</w:t>
      </w:r>
      <w:r>
        <w:rPr>
          <w:kern w:val="0"/>
          <w:szCs w:val="32"/>
        </w:rPr>
        <w:t>等周边</w:t>
      </w:r>
      <w:r>
        <w:rPr>
          <w:rFonts w:hint="eastAsia"/>
          <w:kern w:val="0"/>
          <w:szCs w:val="32"/>
          <w:lang w:eastAsia="zh-CN"/>
        </w:rPr>
        <w:t>市</w:t>
      </w:r>
      <w:r>
        <w:rPr>
          <w:kern w:val="0"/>
          <w:szCs w:val="32"/>
        </w:rPr>
        <w:t>（</w:t>
      </w:r>
      <w:r>
        <w:rPr>
          <w:rFonts w:hint="eastAsia"/>
          <w:kern w:val="0"/>
          <w:szCs w:val="32"/>
          <w:lang w:eastAsia="zh-CN"/>
        </w:rPr>
        <w:t>区</w:t>
      </w:r>
      <w:r>
        <w:rPr>
          <w:rFonts w:hint="eastAsia"/>
          <w:kern w:val="0"/>
          <w:szCs w:val="32"/>
          <w:lang w:val="en-US" w:eastAsia="zh-CN"/>
        </w:rPr>
        <w:t>/</w:t>
      </w:r>
      <w:r>
        <w:rPr>
          <w:rFonts w:hint="eastAsia"/>
          <w:kern w:val="0"/>
          <w:szCs w:val="32"/>
          <w:lang w:eastAsia="zh-CN"/>
        </w:rPr>
        <w:t>县</w:t>
      </w:r>
      <w:r>
        <w:rPr>
          <w:kern w:val="0"/>
          <w:szCs w:val="32"/>
        </w:rPr>
        <w:t>）沟通。</w:t>
      </w:r>
    </w:p>
    <w:p>
      <w:pPr>
        <w:pStyle w:val="3"/>
        <w:ind w:firstLine="640"/>
      </w:pPr>
      <w:bookmarkStart w:id="118" w:name="_Toc95922324"/>
      <w:bookmarkStart w:id="119" w:name="_Toc101966219"/>
      <w:r>
        <w:t>5.2 新闻发布</w:t>
      </w:r>
      <w:bookmarkEnd w:id="118"/>
      <w:bookmarkEnd w:id="119"/>
    </w:p>
    <w:p>
      <w:pPr>
        <w:spacing w:line="594" w:lineRule="exact"/>
        <w:ind w:firstLine="640"/>
        <w:rPr>
          <w:kern w:val="0"/>
          <w:szCs w:val="32"/>
        </w:rPr>
      </w:pPr>
      <w:r>
        <w:rPr>
          <w:kern w:val="0"/>
          <w:szCs w:val="32"/>
        </w:rPr>
        <w:t>借助传统媒体和新媒体平台，通过发布新闻通稿、举行新闻发布会等形式，主动、及时、准确、客观向社会发布预警信息和应对情况，回应社会关切，澄清不实信息，正确引导社会舆论。</w:t>
      </w:r>
    </w:p>
    <w:p>
      <w:pPr>
        <w:pStyle w:val="2"/>
        <w:ind w:firstLine="640"/>
      </w:pPr>
      <w:bookmarkStart w:id="120" w:name="_Toc101966220"/>
      <w:bookmarkStart w:id="121" w:name="_Toc95922325"/>
      <w:r>
        <w:t xml:space="preserve">6 </w:t>
      </w:r>
      <w:r>
        <w:rPr>
          <w:rFonts w:hint="eastAsia"/>
        </w:rPr>
        <w:t>总结评估</w:t>
      </w:r>
      <w:bookmarkEnd w:id="120"/>
      <w:bookmarkEnd w:id="121"/>
    </w:p>
    <w:p>
      <w:pPr>
        <w:spacing w:line="594" w:lineRule="exact"/>
        <w:ind w:firstLine="640"/>
        <w:rPr>
          <w:kern w:val="0"/>
          <w:szCs w:val="32"/>
        </w:rPr>
      </w:pPr>
      <w:r>
        <w:rPr>
          <w:kern w:val="0"/>
          <w:szCs w:val="32"/>
        </w:rPr>
        <w:t>预警解除时，响应自行终止。</w:t>
      </w:r>
      <w:r>
        <w:rPr>
          <w:rFonts w:hint="eastAsia"/>
          <w:kern w:val="0"/>
          <w:szCs w:val="32"/>
        </w:rPr>
        <w:t>区</w:t>
      </w:r>
      <w:r>
        <w:rPr>
          <w:kern w:val="0"/>
          <w:szCs w:val="32"/>
        </w:rPr>
        <w:t>指挥部办公室及时组织调查、分析、评估响应措施落实情况及效果，分析存在的问题，提出对策建议，并及时向</w:t>
      </w:r>
      <w:r>
        <w:rPr>
          <w:rFonts w:hint="eastAsia"/>
          <w:kern w:val="0"/>
          <w:szCs w:val="32"/>
        </w:rPr>
        <w:t>区</w:t>
      </w:r>
      <w:r>
        <w:rPr>
          <w:kern w:val="0"/>
          <w:szCs w:val="32"/>
        </w:rPr>
        <w:t>政府及</w:t>
      </w:r>
      <w:r>
        <w:rPr>
          <w:rFonts w:hint="eastAsia"/>
          <w:kern w:val="0"/>
          <w:szCs w:val="32"/>
        </w:rPr>
        <w:t>市</w:t>
      </w:r>
      <w:r>
        <w:rPr>
          <w:kern w:val="0"/>
          <w:szCs w:val="32"/>
        </w:rPr>
        <w:t>生态环境</w:t>
      </w:r>
      <w:r>
        <w:rPr>
          <w:rFonts w:hint="eastAsia"/>
          <w:kern w:val="0"/>
          <w:szCs w:val="32"/>
        </w:rPr>
        <w:t>局</w:t>
      </w:r>
      <w:r>
        <w:rPr>
          <w:kern w:val="0"/>
          <w:szCs w:val="32"/>
        </w:rPr>
        <w:t>报送总结评估报告。</w:t>
      </w:r>
    </w:p>
    <w:p>
      <w:pPr>
        <w:pStyle w:val="2"/>
        <w:ind w:firstLine="640"/>
      </w:pPr>
      <w:bookmarkStart w:id="122" w:name="_Toc101966221"/>
      <w:bookmarkStart w:id="123" w:name="_Toc21411"/>
      <w:bookmarkStart w:id="124" w:name="_Toc89243586"/>
      <w:bookmarkStart w:id="125" w:name="_Toc95922326"/>
      <w:bookmarkStart w:id="126" w:name="_Toc17234"/>
      <w:bookmarkStart w:id="127" w:name="_Toc90560918"/>
      <w:r>
        <w:t>7 应急保障</w:t>
      </w:r>
      <w:bookmarkEnd w:id="122"/>
      <w:bookmarkEnd w:id="123"/>
      <w:bookmarkEnd w:id="124"/>
      <w:bookmarkEnd w:id="125"/>
      <w:bookmarkEnd w:id="126"/>
      <w:bookmarkEnd w:id="127"/>
    </w:p>
    <w:p>
      <w:pPr>
        <w:pStyle w:val="3"/>
        <w:ind w:firstLine="640"/>
      </w:pPr>
      <w:bookmarkStart w:id="128" w:name="_Toc30220"/>
      <w:bookmarkStart w:id="129" w:name="_Toc23059"/>
      <w:bookmarkStart w:id="130" w:name="_Toc101966222"/>
      <w:bookmarkStart w:id="131" w:name="_Toc95922327"/>
      <w:bookmarkStart w:id="132" w:name="_Toc89243587"/>
      <w:bookmarkStart w:id="133" w:name="_Toc90560919"/>
      <w:r>
        <w:t>7.1队伍保障</w:t>
      </w:r>
      <w:bookmarkEnd w:id="128"/>
      <w:bookmarkEnd w:id="129"/>
      <w:bookmarkEnd w:id="130"/>
      <w:bookmarkEnd w:id="131"/>
      <w:bookmarkEnd w:id="132"/>
      <w:bookmarkEnd w:id="133"/>
    </w:p>
    <w:p>
      <w:pPr>
        <w:spacing w:line="594" w:lineRule="exact"/>
        <w:ind w:firstLine="640"/>
        <w:rPr>
          <w:kern w:val="0"/>
          <w:szCs w:val="32"/>
        </w:rPr>
      </w:pPr>
      <w:r>
        <w:rPr>
          <w:kern w:val="0"/>
          <w:szCs w:val="32"/>
        </w:rPr>
        <w:t>各级人民政府和有关部门应当加大资金投入和人才队伍建设力度，按照国家要求和规范，加强环境空气质量和气象条件预测预报能力建设，组织开展专业技术培训，提高重污染天气监测预警能力。建立重污染天气应对专家库，充分发挥专家在指挥决策、应急处置等方面的智囊作用，及时提供专业咨询，协助有关部门开展应对工作评估。</w:t>
      </w:r>
    </w:p>
    <w:p>
      <w:pPr>
        <w:pStyle w:val="3"/>
        <w:ind w:firstLine="640"/>
      </w:pPr>
      <w:bookmarkStart w:id="134" w:name="_Toc24818"/>
      <w:bookmarkStart w:id="135" w:name="_Toc101966223"/>
      <w:bookmarkStart w:id="136" w:name="_Toc95922328"/>
      <w:bookmarkStart w:id="137" w:name="_Toc90560920"/>
      <w:bookmarkStart w:id="138" w:name="_Toc89243588"/>
      <w:bookmarkStart w:id="139" w:name="_Toc15522"/>
      <w:r>
        <w:t>7.2物资保障</w:t>
      </w:r>
      <w:bookmarkEnd w:id="134"/>
      <w:bookmarkEnd w:id="135"/>
      <w:bookmarkEnd w:id="136"/>
      <w:bookmarkEnd w:id="137"/>
      <w:bookmarkEnd w:id="138"/>
      <w:bookmarkEnd w:id="139"/>
    </w:p>
    <w:p>
      <w:pPr>
        <w:spacing w:line="594" w:lineRule="exact"/>
        <w:ind w:firstLine="640"/>
        <w:rPr>
          <w:kern w:val="0"/>
          <w:szCs w:val="32"/>
        </w:rPr>
      </w:pPr>
      <w:r>
        <w:rPr>
          <w:kern w:val="0"/>
          <w:szCs w:val="32"/>
        </w:rPr>
        <w:t>加强环境应急监测设备和环境气象应急设备的配备和日常维护管理，确保性能稳定、数据准确，保障重污染天气污染预报、应急监测、污染控制、处理处置等应对工作。</w:t>
      </w:r>
    </w:p>
    <w:p>
      <w:pPr>
        <w:spacing w:line="594" w:lineRule="exact"/>
        <w:ind w:firstLine="640"/>
        <w:rPr>
          <w:kern w:val="0"/>
          <w:szCs w:val="32"/>
        </w:rPr>
      </w:pPr>
      <w:r>
        <w:rPr>
          <w:kern w:val="0"/>
          <w:szCs w:val="32"/>
        </w:rPr>
        <w:t>加强医疗机构应急队伍建设和应急能力建设，完善重污染天气情况下呼吸道疾病</w:t>
      </w:r>
      <w:r>
        <w:rPr>
          <w:rFonts w:hint="eastAsia"/>
          <w:kern w:val="0"/>
          <w:szCs w:val="32"/>
        </w:rPr>
        <w:t>易感人群</w:t>
      </w:r>
      <w:r>
        <w:rPr>
          <w:kern w:val="0"/>
          <w:szCs w:val="32"/>
        </w:rPr>
        <w:t>激增的应对措施，提高各级医疗机构对呼吸道相关疾病的应急接诊和医疗救护能力。</w:t>
      </w:r>
    </w:p>
    <w:p>
      <w:pPr>
        <w:pStyle w:val="3"/>
        <w:ind w:firstLine="640"/>
      </w:pPr>
      <w:bookmarkStart w:id="140" w:name="_Toc101966224"/>
      <w:bookmarkStart w:id="141" w:name="_Toc95922329"/>
      <w:r>
        <w:t>7.3经费保障</w:t>
      </w:r>
      <w:bookmarkEnd w:id="140"/>
      <w:bookmarkEnd w:id="141"/>
    </w:p>
    <w:p>
      <w:pPr>
        <w:spacing w:line="594" w:lineRule="exact"/>
        <w:ind w:firstLine="640"/>
        <w:rPr>
          <w:kern w:val="0"/>
          <w:szCs w:val="32"/>
        </w:rPr>
      </w:pPr>
      <w:r>
        <w:rPr>
          <w:kern w:val="0"/>
          <w:szCs w:val="32"/>
        </w:rPr>
        <w:t>各级政府加大大气污染防治资金投入力度，按规定将重污染天气应急所需资金列入预算，为重污染天气应急预案及应急减排清单修编、监测预警、应急处置、监督检查、基础设施建设、应急技术支持等工作提供经费保障。</w:t>
      </w:r>
    </w:p>
    <w:p>
      <w:pPr>
        <w:pStyle w:val="3"/>
        <w:ind w:firstLine="640"/>
      </w:pPr>
      <w:bookmarkStart w:id="142" w:name="_Toc89243590"/>
      <w:bookmarkStart w:id="143" w:name="_Toc16040"/>
      <w:bookmarkStart w:id="144" w:name="_Toc32450"/>
      <w:bookmarkStart w:id="145" w:name="_Toc95922330"/>
      <w:bookmarkStart w:id="146" w:name="_Toc90560922"/>
      <w:bookmarkStart w:id="147" w:name="_Toc101966225"/>
      <w:r>
        <w:t>7.4信息联络保障</w:t>
      </w:r>
      <w:bookmarkEnd w:id="142"/>
      <w:bookmarkEnd w:id="143"/>
      <w:bookmarkEnd w:id="144"/>
      <w:bookmarkEnd w:id="145"/>
      <w:bookmarkEnd w:id="146"/>
      <w:bookmarkEnd w:id="147"/>
    </w:p>
    <w:p>
      <w:pPr>
        <w:spacing w:line="594" w:lineRule="exact"/>
        <w:ind w:firstLine="640"/>
        <w:rPr>
          <w:kern w:val="0"/>
          <w:szCs w:val="32"/>
        </w:rPr>
      </w:pPr>
      <w:bookmarkStart w:id="148" w:name="_Toc95922331"/>
      <w:bookmarkStart w:id="149" w:name="_Toc89243591"/>
      <w:bookmarkStart w:id="150" w:name="_Toc90560923"/>
      <w:bookmarkStart w:id="151" w:name="_Toc18365"/>
      <w:bookmarkStart w:id="152" w:name="_Toc17780"/>
      <w:r>
        <w:rPr>
          <w:kern w:val="0"/>
          <w:szCs w:val="32"/>
        </w:rPr>
        <w:t>各级政府及有关部门建立重污染天气应急值守制度，健全通信和信息保障机制，明确重污染天气应急负责人和联络员，并保持24小时通信畅通，确保应急信息和指令及时有效传达。</w:t>
      </w:r>
      <w:bookmarkEnd w:id="148"/>
    </w:p>
    <w:p>
      <w:pPr>
        <w:pStyle w:val="3"/>
        <w:ind w:firstLine="640"/>
      </w:pPr>
      <w:bookmarkStart w:id="153" w:name="_Toc101966226"/>
      <w:bookmarkStart w:id="154" w:name="_Toc95922332"/>
      <w:r>
        <w:t>7.5</w:t>
      </w:r>
      <w:bookmarkEnd w:id="149"/>
      <w:bookmarkEnd w:id="150"/>
      <w:bookmarkEnd w:id="151"/>
      <w:bookmarkEnd w:id="152"/>
      <w:bookmarkStart w:id="155" w:name="_Toc4501"/>
      <w:bookmarkStart w:id="156" w:name="_Toc89243592"/>
      <w:bookmarkStart w:id="157" w:name="_Toc20979"/>
      <w:bookmarkStart w:id="158" w:name="_Toc90560924"/>
      <w:r>
        <w:t>其他保障</w:t>
      </w:r>
      <w:bookmarkEnd w:id="153"/>
      <w:bookmarkEnd w:id="154"/>
      <w:bookmarkEnd w:id="155"/>
      <w:bookmarkEnd w:id="156"/>
      <w:bookmarkEnd w:id="157"/>
      <w:bookmarkEnd w:id="158"/>
    </w:p>
    <w:p>
      <w:pPr>
        <w:spacing w:line="594" w:lineRule="exact"/>
        <w:ind w:firstLine="640"/>
        <w:rPr>
          <w:kern w:val="0"/>
          <w:szCs w:val="32"/>
        </w:rPr>
      </w:pPr>
      <w:r>
        <w:rPr>
          <w:kern w:val="0"/>
          <w:szCs w:val="32"/>
        </w:rPr>
        <w:t>区</w:t>
      </w:r>
      <w:r>
        <w:rPr>
          <w:rFonts w:hint="eastAsia"/>
          <w:kern w:val="0"/>
          <w:szCs w:val="32"/>
        </w:rPr>
        <w:t>级</w:t>
      </w:r>
      <w:r>
        <w:rPr>
          <w:kern w:val="0"/>
          <w:szCs w:val="32"/>
        </w:rPr>
        <w:t>有关部门和单位要加强重污染天气应对知识的宣传、教育，提高公众自我保护意识和自救互救能力。要定期组织应急预案的培训和演练，不断提升重污染天气应对能力。</w:t>
      </w:r>
    </w:p>
    <w:p>
      <w:pPr>
        <w:pStyle w:val="2"/>
        <w:ind w:firstLine="640"/>
      </w:pPr>
      <w:bookmarkStart w:id="159" w:name="_Toc101966227"/>
      <w:bookmarkStart w:id="160" w:name="_Toc6419"/>
      <w:bookmarkStart w:id="161" w:name="_Toc95922333"/>
      <w:bookmarkStart w:id="162" w:name="_Toc90560925"/>
      <w:bookmarkStart w:id="163" w:name="_Toc21840"/>
      <w:bookmarkStart w:id="164" w:name="_Toc89243593"/>
      <w:r>
        <w:t>8 监督问责</w:t>
      </w:r>
      <w:bookmarkEnd w:id="159"/>
      <w:bookmarkEnd w:id="160"/>
      <w:bookmarkEnd w:id="161"/>
      <w:bookmarkEnd w:id="162"/>
      <w:bookmarkEnd w:id="163"/>
      <w:bookmarkEnd w:id="164"/>
    </w:p>
    <w:p>
      <w:pPr>
        <w:spacing w:line="594" w:lineRule="exact"/>
        <w:ind w:firstLine="640"/>
        <w:rPr>
          <w:kern w:val="0"/>
          <w:szCs w:val="32"/>
        </w:rPr>
      </w:pPr>
      <w:r>
        <w:rPr>
          <w:rFonts w:hint="eastAsia"/>
          <w:kern w:val="0"/>
          <w:szCs w:val="32"/>
        </w:rPr>
        <w:t>区级</w:t>
      </w:r>
      <w:r>
        <w:rPr>
          <w:kern w:val="0"/>
          <w:szCs w:val="32"/>
        </w:rPr>
        <w:t>有关部门按照分工，对重污染天气预警期间应急减排措施的落实情况严格监管。充分利用大数据、智能化分析等手段，对污染源在线监测实时数据、城市工业用电量数据、重点涉气企业用电量实时数据、城市车流量实时数据、重型载货车活动水平实时数据、非道路移动机械作业动态数据、遥感数据等进行分析和挖掘。根据相关活动水平的变化情况，筛选涉嫌存在应急减排措施不落实的企业，进行重点监督检查。严厉打击应急响应期间减排措施不落实、自动监测数据造假、生产记录造假等违法行为。对已评定绩效等级的工业企业、绿色标杆工地等，未达到相应指标要求的，按规定降级处理。</w:t>
      </w:r>
    </w:p>
    <w:p>
      <w:pPr>
        <w:spacing w:line="594" w:lineRule="exact"/>
        <w:ind w:firstLine="640"/>
        <w:rPr>
          <w:kern w:val="0"/>
          <w:szCs w:val="32"/>
        </w:rPr>
      </w:pPr>
      <w:r>
        <w:rPr>
          <w:rFonts w:hint="eastAsia"/>
          <w:kern w:val="0"/>
          <w:szCs w:val="32"/>
        </w:rPr>
        <w:t>五个工作组督导检查各街镇和各成员单位应急响应措施工作开展情况，定期对督导情况进行汇总分析，及时报区指挥部办公室。</w:t>
      </w:r>
    </w:p>
    <w:p>
      <w:pPr>
        <w:spacing w:line="594" w:lineRule="exact"/>
        <w:ind w:firstLine="640"/>
        <w:rPr>
          <w:kern w:val="0"/>
          <w:szCs w:val="32"/>
        </w:rPr>
      </w:pPr>
      <w:r>
        <w:rPr>
          <w:kern w:val="0"/>
          <w:szCs w:val="32"/>
        </w:rPr>
        <w:t>对因工作不力、履职缺位等导致未有效应对重污染天气的，依法依规追究有关政府、部门、单位及人员责任。</w:t>
      </w:r>
    </w:p>
    <w:p>
      <w:pPr>
        <w:spacing w:line="594" w:lineRule="exact"/>
        <w:ind w:firstLine="640"/>
        <w:rPr>
          <w:rFonts w:eastAsia="方正黑体_GBK" w:cs="方正黑体_GBK"/>
          <w:kern w:val="0"/>
          <w:szCs w:val="32"/>
        </w:rPr>
      </w:pPr>
      <w:bookmarkStart w:id="165" w:name="_Toc90560926"/>
      <w:bookmarkStart w:id="166" w:name="_Toc89243594"/>
      <w:bookmarkStart w:id="167" w:name="_Toc12525"/>
      <w:bookmarkStart w:id="168" w:name="_Toc22179"/>
      <w:bookmarkStart w:id="169" w:name="_Toc95922334"/>
      <w:r>
        <w:rPr>
          <w:rFonts w:eastAsia="方正黑体_GBK" w:cs="方正黑体_GBK"/>
          <w:kern w:val="0"/>
          <w:szCs w:val="32"/>
        </w:rPr>
        <w:t>9 附则</w:t>
      </w:r>
      <w:bookmarkEnd w:id="165"/>
      <w:bookmarkEnd w:id="166"/>
      <w:bookmarkEnd w:id="167"/>
      <w:bookmarkEnd w:id="168"/>
      <w:bookmarkEnd w:id="169"/>
    </w:p>
    <w:p>
      <w:pPr>
        <w:spacing w:line="594" w:lineRule="exact"/>
        <w:ind w:firstLine="640"/>
        <w:rPr>
          <w:kern w:val="0"/>
          <w:szCs w:val="32"/>
        </w:rPr>
      </w:pPr>
      <w:bookmarkStart w:id="170" w:name="_Toc90560927"/>
      <w:bookmarkStart w:id="171" w:name="_Toc18926"/>
      <w:bookmarkStart w:id="172" w:name="_Toc6857"/>
      <w:bookmarkStart w:id="173" w:name="_Toc95922335"/>
      <w:bookmarkStart w:id="174" w:name="_Toc89243595"/>
      <w:r>
        <w:rPr>
          <w:kern w:val="0"/>
          <w:szCs w:val="32"/>
        </w:rPr>
        <w:t>9.1名词术语</w:t>
      </w:r>
      <w:bookmarkEnd w:id="170"/>
      <w:bookmarkEnd w:id="171"/>
      <w:bookmarkEnd w:id="172"/>
      <w:bookmarkEnd w:id="173"/>
      <w:bookmarkEnd w:id="174"/>
    </w:p>
    <w:p>
      <w:pPr>
        <w:snapToGrid w:val="0"/>
        <w:spacing w:line="560" w:lineRule="exact"/>
        <w:ind w:firstLine="640" w:firstLineChars="200"/>
      </w:pPr>
      <w:r>
        <w:rPr>
          <w:szCs w:val="32"/>
        </w:rPr>
        <w:t>空气重污染：根据《环境空气质量指数（AQI）技术规定（试行）》（HJ633—2012），空气重污染指环境空气质量指数（AQI）大于或等于201，即空气质量达到五级及以上污染程度的空气污染。</w:t>
      </w:r>
    </w:p>
    <w:p>
      <w:pPr>
        <w:spacing w:line="594" w:lineRule="exact"/>
        <w:ind w:firstLine="640"/>
        <w:rPr>
          <w:kern w:val="0"/>
          <w:szCs w:val="32"/>
        </w:rPr>
      </w:pPr>
      <w:bookmarkStart w:id="175" w:name="_Toc26661"/>
      <w:bookmarkStart w:id="176" w:name="_Toc90560928"/>
      <w:bookmarkStart w:id="177" w:name="_Toc89243596"/>
      <w:bookmarkStart w:id="178" w:name="_Toc11532"/>
      <w:bookmarkStart w:id="179" w:name="_Toc95922336"/>
      <w:r>
        <w:rPr>
          <w:kern w:val="0"/>
          <w:szCs w:val="32"/>
        </w:rPr>
        <w:t>9.2预案管理</w:t>
      </w:r>
      <w:bookmarkEnd w:id="175"/>
      <w:bookmarkEnd w:id="176"/>
      <w:bookmarkEnd w:id="177"/>
      <w:bookmarkEnd w:id="178"/>
      <w:bookmarkEnd w:id="179"/>
    </w:p>
    <w:p>
      <w:pPr>
        <w:spacing w:line="594" w:lineRule="exact"/>
        <w:ind w:firstLine="640"/>
        <w:rPr>
          <w:kern w:val="0"/>
          <w:szCs w:val="32"/>
        </w:rPr>
      </w:pPr>
      <w:r>
        <w:rPr>
          <w:rFonts w:hint="eastAsia"/>
          <w:kern w:val="0"/>
          <w:szCs w:val="32"/>
        </w:rPr>
        <w:t>区</w:t>
      </w:r>
      <w:r>
        <w:rPr>
          <w:kern w:val="0"/>
          <w:szCs w:val="32"/>
        </w:rPr>
        <w:t>生态环境局定期组织</w:t>
      </w:r>
      <w:r>
        <w:rPr>
          <w:rFonts w:hint="eastAsia"/>
          <w:kern w:val="0"/>
          <w:szCs w:val="32"/>
        </w:rPr>
        <w:t>区</w:t>
      </w:r>
      <w:r>
        <w:rPr>
          <w:kern w:val="0"/>
          <w:szCs w:val="32"/>
        </w:rPr>
        <w:t>政府有关部门、有关单位开展应急预案评估工作，适时对本预案进行修订。本预案有效期原则上不超过5年。</w:t>
      </w:r>
    </w:p>
    <w:p>
      <w:pPr>
        <w:spacing w:line="594" w:lineRule="exact"/>
        <w:ind w:firstLine="640"/>
        <w:rPr>
          <w:kern w:val="0"/>
          <w:szCs w:val="32"/>
        </w:rPr>
      </w:pPr>
      <w:bookmarkStart w:id="180" w:name="_Toc25535"/>
      <w:bookmarkStart w:id="181" w:name="_Toc95922338"/>
      <w:bookmarkStart w:id="182" w:name="_Toc89243598"/>
      <w:bookmarkStart w:id="183" w:name="_Toc3182"/>
      <w:bookmarkStart w:id="184" w:name="_Toc90560930"/>
      <w:r>
        <w:rPr>
          <w:kern w:val="0"/>
          <w:szCs w:val="32"/>
        </w:rPr>
        <w:t>9.</w:t>
      </w:r>
      <w:r>
        <w:rPr>
          <w:rFonts w:hint="eastAsia"/>
          <w:kern w:val="0"/>
          <w:szCs w:val="32"/>
        </w:rPr>
        <w:t>3</w:t>
      </w:r>
      <w:r>
        <w:rPr>
          <w:kern w:val="0"/>
          <w:szCs w:val="32"/>
        </w:rPr>
        <w:t>预案解释</w:t>
      </w:r>
      <w:bookmarkEnd w:id="180"/>
      <w:bookmarkEnd w:id="181"/>
      <w:bookmarkEnd w:id="182"/>
      <w:bookmarkEnd w:id="183"/>
      <w:bookmarkEnd w:id="184"/>
    </w:p>
    <w:p>
      <w:pPr>
        <w:spacing w:line="594" w:lineRule="exact"/>
        <w:ind w:firstLine="640"/>
        <w:rPr>
          <w:kern w:val="0"/>
          <w:szCs w:val="32"/>
        </w:rPr>
      </w:pPr>
      <w:r>
        <w:rPr>
          <w:kern w:val="0"/>
          <w:szCs w:val="32"/>
        </w:rPr>
        <w:t>本预案由</w:t>
      </w:r>
      <w:r>
        <w:rPr>
          <w:rFonts w:hint="eastAsia"/>
          <w:kern w:val="0"/>
          <w:szCs w:val="32"/>
        </w:rPr>
        <w:t>区</w:t>
      </w:r>
      <w:r>
        <w:rPr>
          <w:kern w:val="0"/>
          <w:szCs w:val="32"/>
        </w:rPr>
        <w:t>生态环境局负责解释。</w:t>
      </w:r>
    </w:p>
    <w:p>
      <w:pPr>
        <w:spacing w:line="594" w:lineRule="exact"/>
        <w:ind w:firstLine="640"/>
        <w:rPr>
          <w:kern w:val="0"/>
          <w:szCs w:val="32"/>
        </w:rPr>
      </w:pPr>
      <w:bookmarkStart w:id="185" w:name="_Toc90560931"/>
      <w:bookmarkStart w:id="186" w:name="_Toc95922339"/>
      <w:bookmarkStart w:id="187" w:name="_Toc12910"/>
      <w:bookmarkStart w:id="188" w:name="_Toc5865"/>
      <w:bookmarkStart w:id="189" w:name="_Toc89243599"/>
      <w:r>
        <w:rPr>
          <w:kern w:val="0"/>
          <w:szCs w:val="32"/>
        </w:rPr>
        <w:t>9.</w:t>
      </w:r>
      <w:r>
        <w:rPr>
          <w:rFonts w:hint="eastAsia"/>
          <w:kern w:val="0"/>
          <w:szCs w:val="32"/>
        </w:rPr>
        <w:t>4</w:t>
      </w:r>
      <w:r>
        <w:rPr>
          <w:kern w:val="0"/>
          <w:szCs w:val="32"/>
        </w:rPr>
        <w:t>实施时间</w:t>
      </w:r>
      <w:bookmarkEnd w:id="185"/>
      <w:bookmarkEnd w:id="186"/>
      <w:bookmarkEnd w:id="187"/>
      <w:bookmarkEnd w:id="188"/>
      <w:bookmarkEnd w:id="189"/>
    </w:p>
    <w:p>
      <w:pPr>
        <w:spacing w:line="594" w:lineRule="exact"/>
        <w:ind w:firstLine="640"/>
        <w:rPr>
          <w:kern w:val="0"/>
          <w:szCs w:val="32"/>
        </w:rPr>
      </w:pPr>
      <w:r>
        <w:rPr>
          <w:kern w:val="0"/>
          <w:szCs w:val="32"/>
        </w:rPr>
        <w:t>本预案自印发之日起施行。</w:t>
      </w:r>
      <w:r>
        <w:rPr>
          <w:szCs w:val="32"/>
        </w:rPr>
        <w:t>201</w:t>
      </w:r>
      <w:r>
        <w:rPr>
          <w:rFonts w:hint="eastAsia"/>
          <w:szCs w:val="32"/>
        </w:rPr>
        <w:t>8</w:t>
      </w:r>
      <w:r>
        <w:rPr>
          <w:szCs w:val="32"/>
        </w:rPr>
        <w:t>年长寿区人民政府办公</w:t>
      </w:r>
      <w:r>
        <w:rPr>
          <w:rFonts w:hint="eastAsia"/>
          <w:szCs w:val="32"/>
        </w:rPr>
        <w:t>室</w:t>
      </w:r>
      <w:r>
        <w:rPr>
          <w:szCs w:val="32"/>
        </w:rPr>
        <w:t>印发的</w:t>
      </w:r>
      <w:r>
        <w:rPr>
          <w:kern w:val="0"/>
          <w:szCs w:val="32"/>
        </w:rPr>
        <w:t>《</w:t>
      </w:r>
      <w:r>
        <w:t>重庆市长寿区空气重污染天气应急预案</w:t>
      </w:r>
      <w:r>
        <w:rPr>
          <w:kern w:val="0"/>
          <w:szCs w:val="32"/>
        </w:rPr>
        <w:t>》（</w:t>
      </w:r>
      <w:r>
        <w:t>长寿府办发〔2018〕</w:t>
      </w:r>
      <w:r>
        <w:rPr>
          <w:rFonts w:hint="eastAsia"/>
        </w:rPr>
        <w:t>35</w:t>
      </w:r>
      <w:r>
        <w:t>号</w:t>
      </w:r>
      <w:r>
        <w:rPr>
          <w:kern w:val="0"/>
          <w:szCs w:val="32"/>
        </w:rPr>
        <w:t>）同时废止。</w:t>
      </w:r>
    </w:p>
    <w:p>
      <w:pPr>
        <w:spacing w:line="594" w:lineRule="exact"/>
        <w:ind w:firstLine="640"/>
        <w:rPr>
          <w:kern w:val="0"/>
          <w:szCs w:val="32"/>
        </w:rPr>
      </w:pPr>
    </w:p>
    <w:p>
      <w:pPr>
        <w:spacing w:line="594" w:lineRule="exact"/>
        <w:ind w:firstLine="640"/>
        <w:rPr>
          <w:kern w:val="0"/>
          <w:szCs w:val="32"/>
        </w:rPr>
      </w:pPr>
      <w:r>
        <w:rPr>
          <w:kern w:val="0"/>
          <w:szCs w:val="32"/>
        </w:rPr>
        <w:t>附件：1．</w:t>
      </w:r>
      <w:r>
        <w:rPr>
          <w:rFonts w:hint="eastAsia"/>
          <w:kern w:val="0"/>
          <w:szCs w:val="32"/>
        </w:rPr>
        <w:t>区</w:t>
      </w:r>
      <w:r>
        <w:rPr>
          <w:kern w:val="0"/>
          <w:szCs w:val="32"/>
        </w:rPr>
        <w:t>指挥部及其办公室和各成员单位职责</w:t>
      </w:r>
    </w:p>
    <w:p>
      <w:pPr>
        <w:spacing w:line="594" w:lineRule="exact"/>
        <w:ind w:firstLine="1600" w:firstLineChars="500"/>
        <w:rPr>
          <w:kern w:val="0"/>
          <w:szCs w:val="32"/>
        </w:rPr>
      </w:pPr>
      <w:r>
        <w:rPr>
          <w:kern w:val="0"/>
          <w:szCs w:val="32"/>
        </w:rPr>
        <w:t>2．</w:t>
      </w:r>
      <w:r>
        <w:rPr>
          <w:rFonts w:hint="eastAsia"/>
          <w:kern w:val="0"/>
          <w:szCs w:val="32"/>
        </w:rPr>
        <w:t>长寿区</w:t>
      </w:r>
      <w:r>
        <w:rPr>
          <w:kern w:val="0"/>
          <w:szCs w:val="32"/>
        </w:rPr>
        <w:t>重污染天气应急响应组织架构图</w:t>
      </w:r>
    </w:p>
    <w:p>
      <w:pPr>
        <w:spacing w:line="594" w:lineRule="exact"/>
        <w:ind w:firstLine="1600" w:firstLineChars="500"/>
        <w:rPr>
          <w:kern w:val="0"/>
          <w:szCs w:val="32"/>
        </w:rPr>
      </w:pPr>
      <w:r>
        <w:rPr>
          <w:kern w:val="0"/>
          <w:szCs w:val="32"/>
        </w:rPr>
        <w:t>3．</w:t>
      </w:r>
      <w:r>
        <w:rPr>
          <w:rFonts w:hint="eastAsia"/>
          <w:kern w:val="0"/>
          <w:szCs w:val="32"/>
        </w:rPr>
        <w:t>长寿区</w:t>
      </w:r>
      <w:r>
        <w:rPr>
          <w:kern w:val="0"/>
          <w:szCs w:val="32"/>
        </w:rPr>
        <w:t>重污染天气应急响应流程图</w:t>
      </w:r>
    </w:p>
    <w:p>
      <w:pPr>
        <w:spacing w:line="594" w:lineRule="exact"/>
        <w:ind w:firstLine="640"/>
        <w:rPr>
          <w:kern w:val="0"/>
          <w:szCs w:val="32"/>
        </w:rPr>
      </w:pPr>
      <w:r>
        <w:rPr>
          <w:rFonts w:hint="eastAsia"/>
          <w:kern w:val="0"/>
          <w:szCs w:val="32"/>
        </w:rPr>
        <w:t xml:space="preserve">      4</w:t>
      </w:r>
      <w:r>
        <w:rPr>
          <w:kern w:val="0"/>
          <w:szCs w:val="32"/>
        </w:rPr>
        <w:t>．</w:t>
      </w:r>
      <w:r>
        <w:rPr>
          <w:rFonts w:hint="eastAsia"/>
          <w:kern w:val="0"/>
          <w:szCs w:val="32"/>
        </w:rPr>
        <w:t>长寿区</w:t>
      </w:r>
      <w:r>
        <w:rPr>
          <w:kern w:val="0"/>
          <w:szCs w:val="32"/>
        </w:rPr>
        <w:t>重污染天气应急减排清单</w:t>
      </w:r>
    </w:p>
    <w:p>
      <w:pPr>
        <w:spacing w:line="594" w:lineRule="exact"/>
        <w:ind w:firstLine="640"/>
        <w:rPr>
          <w:kern w:val="0"/>
          <w:szCs w:val="32"/>
        </w:rPr>
      </w:pPr>
    </w:p>
    <w:p>
      <w:pPr>
        <w:spacing w:line="594" w:lineRule="exact"/>
        <w:ind w:firstLine="640"/>
        <w:rPr>
          <w:kern w:val="0"/>
          <w:szCs w:val="32"/>
        </w:rPr>
        <w:sectPr>
          <w:footerReference r:id="rId12" w:type="default"/>
          <w:footerReference r:id="rId13" w:type="even"/>
          <w:pgSz w:w="11906" w:h="16838"/>
          <w:pgMar w:top="2098" w:right="1474" w:bottom="1984" w:left="1587" w:header="851" w:footer="1474" w:gutter="0"/>
          <w:pgNumType w:start="1"/>
          <w:cols w:space="720" w:num="1"/>
          <w:docGrid w:type="lines" w:linePitch="439" w:charSpace="0"/>
        </w:sectPr>
      </w:pPr>
    </w:p>
    <w:p>
      <w:pPr>
        <w:spacing w:line="594" w:lineRule="exact"/>
        <w:outlineLvl w:val="0"/>
        <w:rPr>
          <w:rFonts w:eastAsia="方正黑体_GBK" w:cs="方正黑体_GBK"/>
          <w:kern w:val="0"/>
          <w:szCs w:val="32"/>
        </w:rPr>
      </w:pPr>
      <w:bookmarkStart w:id="190" w:name="_Toc101966228"/>
      <w:bookmarkStart w:id="191" w:name="_Toc95922340"/>
      <w:bookmarkStart w:id="192" w:name="_Toc90373185"/>
      <w:bookmarkStart w:id="193" w:name="_Toc90560932"/>
      <w:r>
        <w:rPr>
          <w:rFonts w:hint="eastAsia" w:eastAsia="方正黑体_GBK" w:cs="方正黑体_GBK"/>
          <w:kern w:val="0"/>
          <w:szCs w:val="32"/>
        </w:rPr>
        <w:t>附件1</w:t>
      </w:r>
      <w:bookmarkEnd w:id="190"/>
      <w:bookmarkEnd w:id="191"/>
      <w:bookmarkEnd w:id="192"/>
    </w:p>
    <w:p>
      <w:pPr>
        <w:spacing w:line="594" w:lineRule="exact"/>
        <w:ind w:firstLine="640"/>
        <w:jc w:val="center"/>
        <w:rPr>
          <w:rFonts w:eastAsia="方正小标宋_GBK" w:cs="方正小标宋_GBK"/>
          <w:kern w:val="0"/>
          <w:sz w:val="36"/>
          <w:szCs w:val="36"/>
        </w:rPr>
      </w:pPr>
    </w:p>
    <w:p>
      <w:pPr>
        <w:spacing w:line="594" w:lineRule="exact"/>
        <w:jc w:val="center"/>
        <w:rPr>
          <w:rFonts w:eastAsia="方正小标宋_GBK" w:cs="方正小标宋_GBK"/>
          <w:kern w:val="0"/>
          <w:sz w:val="44"/>
          <w:szCs w:val="44"/>
        </w:rPr>
      </w:pPr>
      <w:r>
        <w:rPr>
          <w:rFonts w:hint="eastAsia" w:eastAsia="方正小标宋_GBK" w:cs="方正小标宋_GBK"/>
          <w:kern w:val="0"/>
          <w:sz w:val="44"/>
          <w:szCs w:val="44"/>
        </w:rPr>
        <w:t>区指挥部及其办公室和各成员单位职责</w:t>
      </w:r>
    </w:p>
    <w:bookmarkEnd w:id="193"/>
    <w:p>
      <w:pPr>
        <w:spacing w:line="594" w:lineRule="exact"/>
        <w:ind w:firstLine="640"/>
        <w:rPr>
          <w:kern w:val="0"/>
          <w:szCs w:val="32"/>
        </w:rPr>
      </w:pPr>
    </w:p>
    <w:p>
      <w:pPr>
        <w:snapToGrid w:val="0"/>
        <w:spacing w:line="594" w:lineRule="exact"/>
        <w:ind w:firstLine="640"/>
        <w:rPr>
          <w:rFonts w:eastAsia="方正黑体_GBK" w:cs="方正黑体_GBK"/>
          <w:kern w:val="0"/>
          <w:szCs w:val="32"/>
        </w:rPr>
      </w:pPr>
      <w:r>
        <w:rPr>
          <w:rFonts w:hint="eastAsia" w:eastAsia="方正黑体_GBK" w:cs="方正黑体_GBK"/>
          <w:kern w:val="0"/>
          <w:szCs w:val="32"/>
        </w:rPr>
        <w:t>一、区指挥部职责</w:t>
      </w:r>
    </w:p>
    <w:p>
      <w:pPr>
        <w:snapToGrid w:val="0"/>
        <w:spacing w:line="594" w:lineRule="exact"/>
        <w:ind w:firstLine="640"/>
        <w:rPr>
          <w:kern w:val="0"/>
          <w:szCs w:val="32"/>
        </w:rPr>
      </w:pPr>
      <w:r>
        <w:rPr>
          <w:kern w:val="0"/>
          <w:szCs w:val="32"/>
        </w:rPr>
        <w:t>负责我</w:t>
      </w:r>
      <w:r>
        <w:rPr>
          <w:rFonts w:hint="eastAsia"/>
          <w:kern w:val="0"/>
          <w:szCs w:val="32"/>
        </w:rPr>
        <w:t>区</w:t>
      </w:r>
      <w:r>
        <w:rPr>
          <w:kern w:val="0"/>
          <w:szCs w:val="32"/>
        </w:rPr>
        <w:t>重污染天气应对</w:t>
      </w:r>
      <w:r>
        <w:rPr>
          <w:rFonts w:hint="eastAsia"/>
          <w:kern w:val="0"/>
          <w:szCs w:val="32"/>
        </w:rPr>
        <w:t>处置</w:t>
      </w:r>
      <w:r>
        <w:rPr>
          <w:kern w:val="0"/>
          <w:szCs w:val="32"/>
        </w:rPr>
        <w:t>工作的组织领导和指挥协调；指导、督促各成员单位和</w:t>
      </w:r>
      <w:r>
        <w:rPr>
          <w:rFonts w:hint="eastAsia"/>
          <w:kern w:val="0"/>
          <w:szCs w:val="32"/>
        </w:rPr>
        <w:t>街镇</w:t>
      </w:r>
      <w:r>
        <w:rPr>
          <w:kern w:val="0"/>
          <w:szCs w:val="32"/>
        </w:rPr>
        <w:t>政府开展重污染天气应对</w:t>
      </w:r>
      <w:r>
        <w:rPr>
          <w:rFonts w:hint="eastAsia"/>
          <w:kern w:val="0"/>
          <w:szCs w:val="32"/>
        </w:rPr>
        <w:t>处置</w:t>
      </w:r>
      <w:r>
        <w:rPr>
          <w:kern w:val="0"/>
          <w:szCs w:val="32"/>
        </w:rPr>
        <w:t>工作；及时研究处理重污染天气重大事项；向市政府和</w:t>
      </w:r>
      <w:r>
        <w:rPr>
          <w:rFonts w:hint="eastAsia"/>
          <w:kern w:val="0"/>
          <w:szCs w:val="32"/>
        </w:rPr>
        <w:t>区委区政府</w:t>
      </w:r>
      <w:r>
        <w:rPr>
          <w:kern w:val="0"/>
          <w:szCs w:val="32"/>
        </w:rPr>
        <w:t>报告重污染天气应对情况；统一领导和组织橙色、红色重污染天气预警应对工作，必要时派出工作组赴重污染天气发生现场指导应对工作；发布重污染天气重要信息。</w:t>
      </w:r>
    </w:p>
    <w:p>
      <w:pPr>
        <w:snapToGrid w:val="0"/>
        <w:spacing w:line="594" w:lineRule="exact"/>
        <w:ind w:firstLine="640"/>
        <w:rPr>
          <w:rFonts w:eastAsia="方正黑体_GBK" w:cs="方正黑体_GBK"/>
          <w:kern w:val="0"/>
          <w:szCs w:val="32"/>
        </w:rPr>
      </w:pPr>
      <w:r>
        <w:rPr>
          <w:rFonts w:hint="eastAsia" w:eastAsia="方正黑体_GBK" w:cs="方正黑体_GBK"/>
          <w:kern w:val="0"/>
          <w:szCs w:val="32"/>
        </w:rPr>
        <w:t>二、区</w:t>
      </w:r>
      <w:r>
        <w:rPr>
          <w:rFonts w:eastAsia="方正黑体_GBK" w:cs="方正黑体_GBK"/>
          <w:kern w:val="0"/>
          <w:szCs w:val="32"/>
        </w:rPr>
        <w:t>指挥部办公室职责</w:t>
      </w:r>
    </w:p>
    <w:p>
      <w:pPr>
        <w:snapToGrid w:val="0"/>
        <w:spacing w:line="594" w:lineRule="exact"/>
        <w:ind w:firstLine="640"/>
        <w:rPr>
          <w:kern w:val="0"/>
          <w:szCs w:val="32"/>
        </w:rPr>
      </w:pPr>
      <w:r>
        <w:rPr>
          <w:kern w:val="0"/>
          <w:szCs w:val="32"/>
        </w:rPr>
        <w:t>组织落实</w:t>
      </w:r>
      <w:r>
        <w:rPr>
          <w:rFonts w:hint="eastAsia"/>
          <w:kern w:val="0"/>
          <w:szCs w:val="32"/>
        </w:rPr>
        <w:t>区</w:t>
      </w:r>
      <w:r>
        <w:rPr>
          <w:kern w:val="0"/>
          <w:szCs w:val="32"/>
        </w:rPr>
        <w:t>指挥部决定，协调、督促成员单位做好重污染天气应对</w:t>
      </w:r>
      <w:r>
        <w:rPr>
          <w:rFonts w:hint="eastAsia"/>
          <w:kern w:val="0"/>
          <w:szCs w:val="32"/>
        </w:rPr>
        <w:t>处置</w:t>
      </w:r>
      <w:r>
        <w:rPr>
          <w:kern w:val="0"/>
          <w:szCs w:val="32"/>
        </w:rPr>
        <w:t>工作；承担</w:t>
      </w:r>
      <w:r>
        <w:rPr>
          <w:rFonts w:hint="eastAsia"/>
          <w:kern w:val="0"/>
          <w:szCs w:val="32"/>
        </w:rPr>
        <w:t>区</w:t>
      </w:r>
      <w:r>
        <w:rPr>
          <w:kern w:val="0"/>
          <w:szCs w:val="32"/>
        </w:rPr>
        <w:t>指挥部应急值守工作，加强信息收集和分析研究，做好信息上传下达工作；建立完善</w:t>
      </w:r>
      <w:r>
        <w:rPr>
          <w:rFonts w:hint="eastAsia"/>
          <w:kern w:val="0"/>
          <w:szCs w:val="32"/>
        </w:rPr>
        <w:t>的</w:t>
      </w:r>
      <w:r>
        <w:rPr>
          <w:kern w:val="0"/>
          <w:szCs w:val="32"/>
        </w:rPr>
        <w:t>监测预警体系，做好空气质量和气象数据综合分析，预测大气污染情况，负责发布和解除区域黄色预警，向</w:t>
      </w:r>
      <w:r>
        <w:rPr>
          <w:rFonts w:hint="eastAsia"/>
          <w:kern w:val="0"/>
          <w:szCs w:val="32"/>
        </w:rPr>
        <w:t>区</w:t>
      </w:r>
      <w:r>
        <w:rPr>
          <w:kern w:val="0"/>
          <w:szCs w:val="32"/>
        </w:rPr>
        <w:t>政府提出发布和解除橙色、红色预警建议；组织重污染天气应急预案</w:t>
      </w:r>
      <w:r>
        <w:rPr>
          <w:rFonts w:hint="eastAsia"/>
          <w:kern w:val="0"/>
          <w:szCs w:val="32"/>
        </w:rPr>
        <w:t>的</w:t>
      </w:r>
      <w:r>
        <w:rPr>
          <w:kern w:val="0"/>
          <w:szCs w:val="32"/>
        </w:rPr>
        <w:t>宣传、培训和演练、总结评估；承担</w:t>
      </w:r>
      <w:r>
        <w:rPr>
          <w:rFonts w:hint="eastAsia"/>
          <w:kern w:val="0"/>
          <w:szCs w:val="32"/>
        </w:rPr>
        <w:t>区</w:t>
      </w:r>
      <w:r>
        <w:rPr>
          <w:kern w:val="0"/>
          <w:szCs w:val="32"/>
        </w:rPr>
        <w:t>指挥部其他日常事务和交办的工作。</w:t>
      </w:r>
    </w:p>
    <w:p>
      <w:pPr>
        <w:snapToGrid w:val="0"/>
        <w:spacing w:line="594" w:lineRule="exact"/>
        <w:ind w:firstLine="640"/>
        <w:rPr>
          <w:rFonts w:eastAsia="方正黑体_GBK" w:cs="方正黑体_GBK"/>
          <w:kern w:val="0"/>
          <w:szCs w:val="32"/>
        </w:rPr>
      </w:pPr>
      <w:r>
        <w:rPr>
          <w:rFonts w:hint="eastAsia" w:eastAsia="方正黑体_GBK" w:cs="方正黑体_GBK"/>
          <w:kern w:val="0"/>
          <w:szCs w:val="32"/>
        </w:rPr>
        <w:t>三、区</w:t>
      </w:r>
      <w:r>
        <w:rPr>
          <w:rFonts w:eastAsia="方正黑体_GBK" w:cs="方正黑体_GBK"/>
          <w:kern w:val="0"/>
          <w:szCs w:val="32"/>
        </w:rPr>
        <w:t>指挥部各成员单位职责</w:t>
      </w:r>
    </w:p>
    <w:p>
      <w:pPr>
        <w:spacing w:line="560" w:lineRule="exact"/>
        <w:ind w:firstLine="640" w:firstLineChars="200"/>
        <w:rPr>
          <w:szCs w:val="32"/>
        </w:rPr>
      </w:pPr>
      <w:r>
        <w:rPr>
          <w:szCs w:val="32"/>
        </w:rPr>
        <w:t>区指挥部成员单位主要包括区</w:t>
      </w:r>
      <w:r>
        <w:rPr>
          <w:rFonts w:hint="eastAsia"/>
          <w:szCs w:val="32"/>
        </w:rPr>
        <w:t>委宣传部、区委网信办</w:t>
      </w:r>
      <w:r>
        <w:rPr>
          <w:szCs w:val="32"/>
        </w:rPr>
        <w:t>、区教委、区</w:t>
      </w:r>
      <w:r>
        <w:rPr>
          <w:rFonts w:hint="eastAsia"/>
          <w:szCs w:val="32"/>
        </w:rPr>
        <w:t>经济信息</w:t>
      </w:r>
      <w:r>
        <w:rPr>
          <w:szCs w:val="32"/>
        </w:rPr>
        <w:t>委、区公安局、区财政局、区</w:t>
      </w:r>
      <w:r>
        <w:rPr>
          <w:rFonts w:hint="eastAsia"/>
          <w:szCs w:val="32"/>
        </w:rPr>
        <w:t>生态环境</w:t>
      </w:r>
      <w:r>
        <w:rPr>
          <w:szCs w:val="32"/>
        </w:rPr>
        <w:t>局、区</w:t>
      </w:r>
      <w:r>
        <w:rPr>
          <w:rFonts w:hint="eastAsia"/>
          <w:szCs w:val="32"/>
        </w:rPr>
        <w:t>交通局</w:t>
      </w:r>
      <w:r>
        <w:rPr>
          <w:szCs w:val="32"/>
        </w:rPr>
        <w:t>、区</w:t>
      </w:r>
      <w:r>
        <w:rPr>
          <w:kern w:val="0"/>
          <w:szCs w:val="32"/>
        </w:rPr>
        <w:t>住房城乡建委</w:t>
      </w:r>
      <w:r>
        <w:rPr>
          <w:szCs w:val="32"/>
        </w:rPr>
        <w:t>、区</w:t>
      </w:r>
      <w:r>
        <w:rPr>
          <w:rFonts w:hint="eastAsia"/>
          <w:szCs w:val="32"/>
        </w:rPr>
        <w:t>城市管理</w:t>
      </w:r>
      <w:r>
        <w:rPr>
          <w:szCs w:val="32"/>
        </w:rPr>
        <w:t>局、区</w:t>
      </w:r>
      <w:r>
        <w:rPr>
          <w:rFonts w:hint="eastAsia"/>
          <w:szCs w:val="32"/>
        </w:rPr>
        <w:t>农业农村</w:t>
      </w:r>
      <w:r>
        <w:rPr>
          <w:szCs w:val="32"/>
        </w:rPr>
        <w:t>委、区</w:t>
      </w:r>
      <w:r>
        <w:rPr>
          <w:rFonts w:hint="eastAsia"/>
          <w:szCs w:val="32"/>
        </w:rPr>
        <w:t>文化旅游</w:t>
      </w:r>
      <w:r>
        <w:rPr>
          <w:szCs w:val="32"/>
        </w:rPr>
        <w:t>委、区卫</w:t>
      </w:r>
      <w:r>
        <w:rPr>
          <w:rFonts w:hint="eastAsia"/>
          <w:szCs w:val="32"/>
        </w:rPr>
        <w:t>生健康</w:t>
      </w:r>
      <w:r>
        <w:rPr>
          <w:szCs w:val="32"/>
        </w:rPr>
        <w:t>委、</w:t>
      </w:r>
      <w:r>
        <w:rPr>
          <w:rFonts w:hint="eastAsia"/>
          <w:szCs w:val="32"/>
        </w:rPr>
        <w:t>区应急局、区国资委、长寿高新区服务中心</w:t>
      </w:r>
      <w:r>
        <w:rPr>
          <w:szCs w:val="32"/>
        </w:rPr>
        <w:t>、长寿经开区、</w:t>
      </w:r>
      <w:r>
        <w:rPr>
          <w:rFonts w:hint="eastAsia"/>
          <w:szCs w:val="32"/>
        </w:rPr>
        <w:t>国网重庆长寿供电公司、</w:t>
      </w:r>
      <w:r>
        <w:rPr>
          <w:szCs w:val="32"/>
        </w:rPr>
        <w:t>区</w:t>
      </w:r>
      <w:r>
        <w:rPr>
          <w:rFonts w:hint="eastAsia"/>
          <w:szCs w:val="32"/>
        </w:rPr>
        <w:t>市场监管</w:t>
      </w:r>
      <w:r>
        <w:rPr>
          <w:szCs w:val="32"/>
        </w:rPr>
        <w:t>局、区气象局、各街镇。各单位职责如下：</w:t>
      </w:r>
    </w:p>
    <w:p>
      <w:pPr>
        <w:snapToGrid w:val="0"/>
        <w:spacing w:line="594" w:lineRule="exact"/>
        <w:ind w:firstLine="640"/>
        <w:rPr>
          <w:kern w:val="0"/>
          <w:szCs w:val="32"/>
        </w:rPr>
      </w:pPr>
      <w:r>
        <w:rPr>
          <w:rFonts w:hint="eastAsia"/>
          <w:kern w:val="0"/>
          <w:szCs w:val="32"/>
        </w:rPr>
        <w:t>区委宣传部：负责会同区生态环境局等部门组织协调媒体做好重污染天气应急工作的新闻报道、政策解读和公益宣传；做好重污染天气预警信息的传播，及时准确引导社会舆论。</w:t>
      </w:r>
    </w:p>
    <w:p>
      <w:pPr>
        <w:snapToGrid w:val="0"/>
        <w:spacing w:line="594" w:lineRule="exact"/>
        <w:ind w:firstLine="640"/>
        <w:rPr>
          <w:kern w:val="0"/>
          <w:szCs w:val="32"/>
        </w:rPr>
      </w:pPr>
      <w:r>
        <w:rPr>
          <w:rFonts w:hint="eastAsia"/>
          <w:kern w:val="0"/>
          <w:szCs w:val="32"/>
        </w:rPr>
        <w:t>区委</w:t>
      </w:r>
      <w:r>
        <w:rPr>
          <w:kern w:val="0"/>
          <w:szCs w:val="32"/>
        </w:rPr>
        <w:t>网信办：负责监测网络舆情，会同</w:t>
      </w:r>
      <w:r>
        <w:rPr>
          <w:rFonts w:hint="eastAsia"/>
          <w:kern w:val="0"/>
          <w:szCs w:val="32"/>
        </w:rPr>
        <w:t>区生态环境局等</w:t>
      </w:r>
      <w:r>
        <w:rPr>
          <w:kern w:val="0"/>
          <w:szCs w:val="32"/>
        </w:rPr>
        <w:t>有关部门开展网络舆情引导，及时澄清网络谣言。</w:t>
      </w:r>
    </w:p>
    <w:p>
      <w:pPr>
        <w:snapToGrid w:val="0"/>
        <w:spacing w:line="594" w:lineRule="exact"/>
        <w:ind w:firstLine="640"/>
        <w:rPr>
          <w:kern w:val="0"/>
          <w:szCs w:val="32"/>
        </w:rPr>
      </w:pPr>
      <w:r>
        <w:rPr>
          <w:rFonts w:hint="eastAsia"/>
          <w:kern w:val="0"/>
          <w:szCs w:val="32"/>
        </w:rPr>
        <w:t>区</w:t>
      </w:r>
      <w:r>
        <w:rPr>
          <w:kern w:val="0"/>
          <w:szCs w:val="32"/>
        </w:rPr>
        <w:t>教委：指导各</w:t>
      </w:r>
      <w:r>
        <w:rPr>
          <w:rFonts w:hint="eastAsia"/>
          <w:kern w:val="0"/>
          <w:szCs w:val="32"/>
        </w:rPr>
        <w:t>街镇</w:t>
      </w:r>
      <w:r>
        <w:rPr>
          <w:kern w:val="0"/>
          <w:szCs w:val="32"/>
        </w:rPr>
        <w:t>制定并落实重污染天气幼儿园、学校应急方案；负责开展幼儿园和中小学校健康防护知识的宣传教育，并根据预警等级及区域重污染状况指导学校减少、停止户外活动或实施停课。</w:t>
      </w:r>
    </w:p>
    <w:p>
      <w:pPr>
        <w:snapToGrid w:val="0"/>
        <w:spacing w:line="594" w:lineRule="exact"/>
        <w:ind w:firstLine="640"/>
        <w:rPr>
          <w:kern w:val="0"/>
          <w:szCs w:val="32"/>
        </w:rPr>
      </w:pPr>
      <w:r>
        <w:rPr>
          <w:rFonts w:hint="eastAsia"/>
          <w:kern w:val="0"/>
          <w:szCs w:val="32"/>
        </w:rPr>
        <w:t>区</w:t>
      </w:r>
      <w:r>
        <w:rPr>
          <w:kern w:val="0"/>
          <w:szCs w:val="32"/>
        </w:rPr>
        <w:t>经济信息委：负责监督工业企业实施限产、停产等减排措施；监督重点</w:t>
      </w:r>
      <w:r>
        <w:rPr>
          <w:rFonts w:hint="eastAsia"/>
          <w:kern w:val="0"/>
          <w:szCs w:val="32"/>
        </w:rPr>
        <w:t>火电</w:t>
      </w:r>
      <w:r>
        <w:rPr>
          <w:kern w:val="0"/>
          <w:szCs w:val="32"/>
        </w:rPr>
        <w:t>企业储备与调配使用优质煤炭；负责在保障全</w:t>
      </w:r>
      <w:r>
        <w:rPr>
          <w:rFonts w:hint="eastAsia"/>
          <w:kern w:val="0"/>
          <w:szCs w:val="32"/>
        </w:rPr>
        <w:t>区</w:t>
      </w:r>
      <w:r>
        <w:rPr>
          <w:kern w:val="0"/>
          <w:szCs w:val="32"/>
        </w:rPr>
        <w:t>供应的前提下</w:t>
      </w:r>
      <w:r>
        <w:rPr>
          <w:rFonts w:hint="eastAsia"/>
          <w:kern w:val="0"/>
          <w:szCs w:val="32"/>
        </w:rPr>
        <w:t>，适当减少火力发电</w:t>
      </w:r>
      <w:r>
        <w:rPr>
          <w:kern w:val="0"/>
          <w:szCs w:val="32"/>
        </w:rPr>
        <w:t>，优化电力调度工作。</w:t>
      </w:r>
    </w:p>
    <w:p>
      <w:pPr>
        <w:snapToGrid w:val="0"/>
        <w:spacing w:line="594" w:lineRule="exact"/>
        <w:ind w:firstLine="640"/>
        <w:rPr>
          <w:kern w:val="0"/>
          <w:szCs w:val="32"/>
        </w:rPr>
      </w:pPr>
      <w:r>
        <w:rPr>
          <w:rFonts w:hint="eastAsia"/>
          <w:kern w:val="0"/>
          <w:szCs w:val="32"/>
        </w:rPr>
        <w:t>区</w:t>
      </w:r>
      <w:r>
        <w:rPr>
          <w:kern w:val="0"/>
          <w:szCs w:val="32"/>
        </w:rPr>
        <w:t>公安局：负责设置高排放机动车限行交通标志，实施高排放机动车应急限行措施，加大路检</w:t>
      </w:r>
      <w:r>
        <w:rPr>
          <w:rFonts w:hint="eastAsia"/>
        </w:rPr>
        <w:t>、</w:t>
      </w:r>
      <w:r>
        <w:rPr>
          <w:kern w:val="0"/>
          <w:szCs w:val="32"/>
        </w:rPr>
        <w:t>抽检频次，查处禁、限行路段行驶的超标排放车辆和排放黑烟车辆；强化交通指挥，保障道路畅通；指导各</w:t>
      </w:r>
      <w:r>
        <w:rPr>
          <w:rFonts w:hint="eastAsia"/>
          <w:kern w:val="0"/>
          <w:szCs w:val="32"/>
        </w:rPr>
        <w:t>街镇</w:t>
      </w:r>
      <w:r>
        <w:rPr>
          <w:kern w:val="0"/>
          <w:szCs w:val="32"/>
        </w:rPr>
        <w:t>开展落实重污染天气机动车限行应急方案等管控措施；协助城市管理部门加强对预警期间易撒漏物质密闭运输的执法工作；指导各</w:t>
      </w:r>
      <w:r>
        <w:rPr>
          <w:rFonts w:hint="eastAsia"/>
          <w:kern w:val="0"/>
          <w:szCs w:val="32"/>
        </w:rPr>
        <w:t>街镇</w:t>
      </w:r>
      <w:r>
        <w:rPr>
          <w:kern w:val="0"/>
          <w:szCs w:val="32"/>
        </w:rPr>
        <w:t>加强对禁止燃放区域内燃放烟花爆竹行为的查处。</w:t>
      </w:r>
    </w:p>
    <w:p>
      <w:pPr>
        <w:snapToGrid w:val="0"/>
        <w:spacing w:line="594" w:lineRule="exact"/>
        <w:ind w:firstLine="640"/>
        <w:rPr>
          <w:kern w:val="0"/>
          <w:szCs w:val="32"/>
        </w:rPr>
      </w:pPr>
      <w:r>
        <w:rPr>
          <w:rFonts w:hint="eastAsia"/>
          <w:kern w:val="0"/>
          <w:szCs w:val="32"/>
        </w:rPr>
        <w:t>区</w:t>
      </w:r>
      <w:r>
        <w:rPr>
          <w:kern w:val="0"/>
          <w:szCs w:val="32"/>
        </w:rPr>
        <w:t>财政局：负责</w:t>
      </w:r>
      <w:r>
        <w:rPr>
          <w:rFonts w:hint="eastAsia"/>
          <w:kern w:val="0"/>
          <w:szCs w:val="32"/>
        </w:rPr>
        <w:t>区级政府事权和支出责任范围内的</w:t>
      </w:r>
      <w:r>
        <w:rPr>
          <w:kern w:val="0"/>
          <w:szCs w:val="32"/>
        </w:rPr>
        <w:t>重污染天气应对工作经费保障。</w:t>
      </w:r>
    </w:p>
    <w:p>
      <w:pPr>
        <w:snapToGrid w:val="0"/>
        <w:spacing w:line="594" w:lineRule="exact"/>
        <w:ind w:firstLine="640"/>
        <w:rPr>
          <w:kern w:val="0"/>
          <w:szCs w:val="32"/>
        </w:rPr>
      </w:pPr>
      <w:r>
        <w:rPr>
          <w:rFonts w:hint="eastAsia"/>
          <w:kern w:val="0"/>
          <w:szCs w:val="32"/>
        </w:rPr>
        <w:t>区</w:t>
      </w:r>
      <w:r>
        <w:rPr>
          <w:kern w:val="0"/>
          <w:szCs w:val="32"/>
        </w:rPr>
        <w:t>生态环境局：负责履行市指挥部办公室有关职责；协助</w:t>
      </w:r>
      <w:r>
        <w:rPr>
          <w:rFonts w:hint="eastAsia"/>
          <w:kern w:val="0"/>
          <w:szCs w:val="32"/>
        </w:rPr>
        <w:t>区</w:t>
      </w:r>
      <w:r>
        <w:rPr>
          <w:kern w:val="0"/>
          <w:szCs w:val="32"/>
        </w:rPr>
        <w:t>经济信息委监督重点工业企业实施限产、停产等减排措施；加强工业企业污染防治设施和在线监测设备高效稳定运行的执法检查；开展重污染天气应对及健康防护措施的宣传工作；建立监测预警应急体系，会同</w:t>
      </w:r>
      <w:r>
        <w:rPr>
          <w:rFonts w:hint="eastAsia"/>
          <w:kern w:val="0"/>
          <w:szCs w:val="32"/>
        </w:rPr>
        <w:t>区</w:t>
      </w:r>
      <w:r>
        <w:rPr>
          <w:kern w:val="0"/>
          <w:szCs w:val="32"/>
        </w:rPr>
        <w:t>气象局开展环境空气质量会商、研判、预警；建立污染源清单并定期进行动态更新。</w:t>
      </w:r>
    </w:p>
    <w:p>
      <w:pPr>
        <w:snapToGrid w:val="0"/>
        <w:spacing w:line="594" w:lineRule="exact"/>
        <w:ind w:firstLine="640"/>
        <w:rPr>
          <w:kern w:val="0"/>
          <w:szCs w:val="32"/>
        </w:rPr>
      </w:pPr>
      <w:r>
        <w:rPr>
          <w:rFonts w:hint="eastAsia"/>
          <w:kern w:val="0"/>
          <w:szCs w:val="32"/>
        </w:rPr>
        <w:t>区</w:t>
      </w:r>
      <w:r>
        <w:rPr>
          <w:kern w:val="0"/>
          <w:szCs w:val="32"/>
        </w:rPr>
        <w:t>交通局：负责加强本行业扬尘污染防控，指导督促公路、水路建设工程施工单位落实施工扬尘控制措施或暂停施工作业；协助城市管理部门加强对预警期间易撒漏物质密闭运输的执法工作</w:t>
      </w:r>
      <w:r>
        <w:rPr>
          <w:rFonts w:hint="eastAsia"/>
          <w:kern w:val="0"/>
          <w:szCs w:val="32"/>
        </w:rPr>
        <w:t>；</w:t>
      </w:r>
      <w:r>
        <w:rPr>
          <w:kern w:val="0"/>
          <w:szCs w:val="32"/>
        </w:rPr>
        <w:t>指导督促各</w:t>
      </w:r>
      <w:r>
        <w:rPr>
          <w:rFonts w:hint="eastAsia"/>
          <w:kern w:val="0"/>
          <w:szCs w:val="32"/>
        </w:rPr>
        <w:t>街镇开展</w:t>
      </w:r>
      <w:r>
        <w:rPr>
          <w:kern w:val="0"/>
          <w:szCs w:val="32"/>
        </w:rPr>
        <w:t>重污染天气交通运输保障应急</w:t>
      </w:r>
      <w:r>
        <w:rPr>
          <w:rFonts w:hint="eastAsia"/>
          <w:kern w:val="0"/>
          <w:szCs w:val="32"/>
        </w:rPr>
        <w:t>工作</w:t>
      </w:r>
      <w:r>
        <w:rPr>
          <w:kern w:val="0"/>
          <w:szCs w:val="32"/>
        </w:rPr>
        <w:t>，协调公交运力，保障市民公共交通出行。</w:t>
      </w:r>
    </w:p>
    <w:p>
      <w:pPr>
        <w:snapToGrid w:val="0"/>
        <w:spacing w:line="594" w:lineRule="exact"/>
        <w:ind w:firstLine="640"/>
        <w:rPr>
          <w:kern w:val="0"/>
          <w:szCs w:val="32"/>
        </w:rPr>
      </w:pPr>
      <w:r>
        <w:rPr>
          <w:rFonts w:hint="eastAsia"/>
          <w:kern w:val="0"/>
          <w:szCs w:val="32"/>
        </w:rPr>
        <w:t>区</w:t>
      </w:r>
      <w:r>
        <w:rPr>
          <w:kern w:val="0"/>
          <w:szCs w:val="32"/>
        </w:rPr>
        <w:t>住房城乡建委：负责督促房屋建筑和市政基础设施建设工程施工单位落实扬尘控制措施或暂停施工作业。负责督促房屋拆除和土地整治施工单位暂停施工，监督其落实施工现场周边道路清洗、土堆料堆覆盖或增加洒水频次等措施。</w:t>
      </w:r>
    </w:p>
    <w:p>
      <w:pPr>
        <w:snapToGrid w:val="0"/>
        <w:spacing w:line="594" w:lineRule="exact"/>
        <w:ind w:firstLine="640"/>
        <w:rPr>
          <w:kern w:val="0"/>
          <w:szCs w:val="32"/>
        </w:rPr>
      </w:pPr>
      <w:r>
        <w:rPr>
          <w:rFonts w:hint="eastAsia"/>
          <w:kern w:val="0"/>
          <w:szCs w:val="32"/>
        </w:rPr>
        <w:t>区</w:t>
      </w:r>
      <w:r>
        <w:rPr>
          <w:kern w:val="0"/>
          <w:szCs w:val="32"/>
        </w:rPr>
        <w:t>城市管理局：</w:t>
      </w:r>
      <w:r>
        <w:rPr>
          <w:rFonts w:cs="Times New Roman"/>
          <w:color w:val="auto"/>
          <w:kern w:val="0"/>
          <w:szCs w:val="32"/>
        </w:rPr>
        <w:t>负责会同</w:t>
      </w:r>
      <w:r>
        <w:rPr>
          <w:rFonts w:hint="eastAsia" w:cs="Times New Roman"/>
          <w:color w:val="auto"/>
          <w:kern w:val="0"/>
          <w:szCs w:val="32"/>
          <w:lang w:eastAsia="zh-CN"/>
        </w:rPr>
        <w:t>区</w:t>
      </w:r>
      <w:r>
        <w:rPr>
          <w:rFonts w:cs="Times New Roman"/>
          <w:color w:val="auto"/>
          <w:kern w:val="0"/>
          <w:szCs w:val="32"/>
        </w:rPr>
        <w:t>交通局、</w:t>
      </w:r>
      <w:r>
        <w:rPr>
          <w:rFonts w:hint="eastAsia" w:cs="Times New Roman"/>
          <w:color w:val="auto"/>
          <w:kern w:val="0"/>
          <w:szCs w:val="32"/>
          <w:lang w:eastAsia="zh-CN"/>
        </w:rPr>
        <w:t>区</w:t>
      </w:r>
      <w:r>
        <w:rPr>
          <w:rFonts w:cs="Times New Roman"/>
          <w:color w:val="auto"/>
          <w:kern w:val="0"/>
          <w:szCs w:val="32"/>
        </w:rPr>
        <w:t>公安局等部门加强对渣土运输车辆污染道路行为的查处工作，禁止无密闭措施的车辆在</w:t>
      </w:r>
      <w:r>
        <w:rPr>
          <w:rFonts w:hint="eastAsia" w:cs="Times New Roman"/>
          <w:color w:val="auto"/>
          <w:kern w:val="0"/>
          <w:szCs w:val="32"/>
          <w:lang w:eastAsia="zh-CN"/>
        </w:rPr>
        <w:t>城区</w:t>
      </w:r>
      <w:r>
        <w:rPr>
          <w:rFonts w:cs="Times New Roman"/>
          <w:color w:val="auto"/>
          <w:kern w:val="0"/>
          <w:szCs w:val="32"/>
        </w:rPr>
        <w:t>内运输建筑渣土、砂石、垃圾等易撒漏物质；督促市政园林施工单位停工；查处露天烧烤</w:t>
      </w:r>
      <w:r>
        <w:rPr>
          <w:rFonts w:hint="eastAsia" w:cs="Times New Roman"/>
          <w:color w:val="auto"/>
          <w:kern w:val="0"/>
          <w:szCs w:val="32"/>
        </w:rPr>
        <w:t>、露天经营食品等</w:t>
      </w:r>
      <w:r>
        <w:rPr>
          <w:rFonts w:cs="Times New Roman"/>
          <w:color w:val="auto"/>
          <w:kern w:val="0"/>
          <w:szCs w:val="32"/>
        </w:rPr>
        <w:t>违规经营以及在公共场所焚烧垃圾、园林废物等行为；加大道路机械化清扫（冲洗）作业力度，增加作业时间和提高作业频次。</w:t>
      </w:r>
    </w:p>
    <w:p>
      <w:pPr>
        <w:snapToGrid w:val="0"/>
        <w:spacing w:line="594" w:lineRule="exact"/>
        <w:ind w:firstLine="640"/>
        <w:rPr>
          <w:kern w:val="0"/>
          <w:szCs w:val="32"/>
        </w:rPr>
      </w:pPr>
      <w:r>
        <w:rPr>
          <w:rFonts w:hint="eastAsia"/>
          <w:kern w:val="0"/>
          <w:szCs w:val="32"/>
        </w:rPr>
        <w:t>区</w:t>
      </w:r>
      <w:r>
        <w:rPr>
          <w:kern w:val="0"/>
          <w:szCs w:val="32"/>
        </w:rPr>
        <w:t>农业农村委：负责指导各</w:t>
      </w:r>
      <w:r>
        <w:rPr>
          <w:rFonts w:hint="eastAsia"/>
          <w:kern w:val="0"/>
          <w:szCs w:val="32"/>
        </w:rPr>
        <w:t>街镇开展农作物综合利用，</w:t>
      </w:r>
      <w:r>
        <w:rPr>
          <w:kern w:val="0"/>
          <w:szCs w:val="32"/>
        </w:rPr>
        <w:t>落实秸秆禁烧区</w:t>
      </w:r>
      <w:r>
        <w:rPr>
          <w:rFonts w:hint="eastAsia"/>
          <w:kern w:val="0"/>
          <w:szCs w:val="32"/>
        </w:rPr>
        <w:t>划定及</w:t>
      </w:r>
      <w:r>
        <w:rPr>
          <w:kern w:val="0"/>
          <w:szCs w:val="32"/>
        </w:rPr>
        <w:t>管控措施，加大露天焚烧秸秆查处力度。</w:t>
      </w:r>
    </w:p>
    <w:p>
      <w:pPr>
        <w:snapToGrid w:val="0"/>
        <w:spacing w:line="594" w:lineRule="exact"/>
        <w:ind w:firstLine="640"/>
        <w:rPr>
          <w:kern w:val="0"/>
          <w:szCs w:val="32"/>
        </w:rPr>
      </w:pPr>
      <w:r>
        <w:rPr>
          <w:rFonts w:hint="eastAsia"/>
          <w:kern w:val="0"/>
          <w:szCs w:val="32"/>
        </w:rPr>
        <w:t>区</w:t>
      </w:r>
      <w:r>
        <w:rPr>
          <w:kern w:val="0"/>
          <w:szCs w:val="32"/>
        </w:rPr>
        <w:t>文化旅游委：负责组织广播、电视等媒体做好有关信息的传播。</w:t>
      </w:r>
    </w:p>
    <w:p>
      <w:pPr>
        <w:snapToGrid w:val="0"/>
        <w:spacing w:line="594" w:lineRule="exact"/>
        <w:ind w:firstLine="640"/>
        <w:rPr>
          <w:kern w:val="0"/>
          <w:szCs w:val="32"/>
        </w:rPr>
      </w:pPr>
      <w:r>
        <w:rPr>
          <w:rFonts w:hint="eastAsia"/>
          <w:kern w:val="0"/>
          <w:szCs w:val="32"/>
        </w:rPr>
        <w:t>区</w:t>
      </w:r>
      <w:r>
        <w:rPr>
          <w:kern w:val="0"/>
          <w:szCs w:val="32"/>
        </w:rPr>
        <w:t>卫生健康委：负责开展空气污染对人体健康影响的监测工作，加强重污染天气的医疗保障工作。</w:t>
      </w:r>
    </w:p>
    <w:p>
      <w:pPr>
        <w:snapToGrid w:val="0"/>
        <w:spacing w:line="594" w:lineRule="exact"/>
        <w:ind w:firstLine="640"/>
        <w:rPr>
          <w:kern w:val="0"/>
          <w:szCs w:val="32"/>
        </w:rPr>
      </w:pPr>
      <w:r>
        <w:rPr>
          <w:rFonts w:hint="eastAsia"/>
          <w:kern w:val="0"/>
          <w:szCs w:val="32"/>
        </w:rPr>
        <w:t>区</w:t>
      </w:r>
      <w:r>
        <w:rPr>
          <w:kern w:val="0"/>
          <w:szCs w:val="32"/>
        </w:rPr>
        <w:t>应急局：指导做好重污染天气应急预案评估和修订工作；负责重污染天气相关生产安全事故应急处置工作，</w:t>
      </w:r>
      <w:r>
        <w:rPr>
          <w:rFonts w:hint="eastAsia"/>
          <w:kern w:val="0"/>
          <w:szCs w:val="32"/>
        </w:rPr>
        <w:t>做好</w:t>
      </w:r>
      <w:r>
        <w:rPr>
          <w:kern w:val="0"/>
          <w:szCs w:val="32"/>
        </w:rPr>
        <w:t>重污染天气期间燃放限放区内烟花爆竹销售管控工作。</w:t>
      </w:r>
    </w:p>
    <w:p>
      <w:pPr>
        <w:snapToGrid w:val="0"/>
        <w:spacing w:line="594" w:lineRule="exact"/>
        <w:ind w:firstLine="640"/>
        <w:rPr>
          <w:kern w:val="0"/>
          <w:szCs w:val="32"/>
        </w:rPr>
      </w:pPr>
      <w:r>
        <w:rPr>
          <w:rFonts w:hint="eastAsia"/>
          <w:kern w:val="0"/>
          <w:szCs w:val="32"/>
        </w:rPr>
        <w:t>区</w:t>
      </w:r>
      <w:r>
        <w:rPr>
          <w:kern w:val="0"/>
          <w:szCs w:val="32"/>
        </w:rPr>
        <w:t>国资委：负责</w:t>
      </w:r>
      <w:r>
        <w:rPr>
          <w:rFonts w:hint="eastAsia"/>
          <w:kern w:val="0"/>
          <w:szCs w:val="32"/>
        </w:rPr>
        <w:t>指导区</w:t>
      </w:r>
      <w:r>
        <w:rPr>
          <w:kern w:val="0"/>
          <w:szCs w:val="32"/>
        </w:rPr>
        <w:t>属国有企业落实应急响应措施，开展限产减排工作。</w:t>
      </w:r>
    </w:p>
    <w:p>
      <w:pPr>
        <w:snapToGrid w:val="0"/>
        <w:spacing w:line="594" w:lineRule="exact"/>
        <w:ind w:firstLine="640"/>
        <w:rPr>
          <w:kern w:val="0"/>
          <w:szCs w:val="32"/>
        </w:rPr>
      </w:pPr>
      <w:r>
        <w:rPr>
          <w:rFonts w:hint="eastAsia"/>
          <w:kern w:val="0"/>
          <w:szCs w:val="32"/>
        </w:rPr>
        <w:t>区</w:t>
      </w:r>
      <w:r>
        <w:rPr>
          <w:kern w:val="0"/>
          <w:szCs w:val="32"/>
        </w:rPr>
        <w:t>市场监管局：负责开展燃煤质量监督检查，加强生产领域涉及排放的特种设备、成品燃油、燃气的质量监管；负责生产领域罚没品露天焚烧行为的监管。</w:t>
      </w:r>
    </w:p>
    <w:p>
      <w:pPr>
        <w:spacing w:line="560" w:lineRule="exact"/>
        <w:ind w:firstLine="640" w:firstLineChars="200"/>
        <w:rPr>
          <w:kern w:val="0"/>
          <w:szCs w:val="32"/>
        </w:rPr>
      </w:pPr>
      <w:r>
        <w:rPr>
          <w:rFonts w:hint="eastAsia"/>
          <w:szCs w:val="32"/>
        </w:rPr>
        <w:t>长寿高新区服务中心</w:t>
      </w:r>
      <w:r>
        <w:rPr>
          <w:szCs w:val="32"/>
        </w:rPr>
        <w:t>、长寿经开区管委会：主动配合市、区</w:t>
      </w:r>
      <w:r>
        <w:rPr>
          <w:rFonts w:hint="eastAsia"/>
          <w:szCs w:val="32"/>
        </w:rPr>
        <w:t>生态环境</w:t>
      </w:r>
      <w:r>
        <w:rPr>
          <w:szCs w:val="32"/>
        </w:rPr>
        <w:t>部门开展环境应急监测工作；负责督促园区重点企业落实应急响应措施，开展限产减排工作；负责健全完善园区环境风险防控体系，确保环境安全；负责园区环境风险预警体系建设，建立环境风险防范管理工作长效机制，健全环境风险单位信息库；负责园区环境应急保障体系建设，制定环境应急预案，明确环境风险防范措施，加强应急救援队伍、装备和设施建设，储备必要的应急物资；开展有针对性的环境安全隐患排查，有计划地组织应急培训和演练，全面提升园区风险防控和事故应急处置能力。</w:t>
      </w:r>
    </w:p>
    <w:p>
      <w:pPr>
        <w:snapToGrid w:val="0"/>
        <w:spacing w:line="594" w:lineRule="exact"/>
        <w:ind w:firstLine="640"/>
        <w:rPr>
          <w:kern w:val="0"/>
          <w:szCs w:val="32"/>
        </w:rPr>
      </w:pPr>
      <w:r>
        <w:rPr>
          <w:rFonts w:hint="eastAsia"/>
          <w:szCs w:val="32"/>
        </w:rPr>
        <w:t>国网重庆长寿供电公司：</w:t>
      </w:r>
      <w:r>
        <w:rPr>
          <w:kern w:val="0"/>
          <w:szCs w:val="32"/>
        </w:rPr>
        <w:t>协助</w:t>
      </w:r>
      <w:r>
        <w:rPr>
          <w:rFonts w:hint="eastAsia"/>
          <w:kern w:val="0"/>
          <w:szCs w:val="32"/>
        </w:rPr>
        <w:t>区</w:t>
      </w:r>
      <w:r>
        <w:rPr>
          <w:kern w:val="0"/>
          <w:szCs w:val="32"/>
        </w:rPr>
        <w:t>经济信息委开展电力生产企业限产与停产阶段的电力调度工作，保证应急响应期间正常电力供应。</w:t>
      </w:r>
    </w:p>
    <w:p>
      <w:pPr>
        <w:snapToGrid w:val="0"/>
        <w:spacing w:line="594" w:lineRule="exact"/>
        <w:ind w:firstLine="640"/>
        <w:rPr>
          <w:kern w:val="0"/>
          <w:szCs w:val="32"/>
        </w:rPr>
      </w:pPr>
      <w:r>
        <w:rPr>
          <w:rFonts w:hint="eastAsia"/>
          <w:kern w:val="0"/>
          <w:szCs w:val="32"/>
        </w:rPr>
        <w:t>区</w:t>
      </w:r>
      <w:r>
        <w:rPr>
          <w:kern w:val="0"/>
          <w:szCs w:val="32"/>
        </w:rPr>
        <w:t>气象局：负责环境气象监测、气象预报及信息发布；向</w:t>
      </w:r>
      <w:r>
        <w:rPr>
          <w:rFonts w:hint="eastAsia"/>
          <w:kern w:val="0"/>
          <w:szCs w:val="32"/>
        </w:rPr>
        <w:t>区</w:t>
      </w:r>
      <w:r>
        <w:rPr>
          <w:kern w:val="0"/>
          <w:szCs w:val="32"/>
        </w:rPr>
        <w:t>指挥部提供有关气象数据；分析重污染天气的气象背景，会商提出预警建议；配合</w:t>
      </w:r>
      <w:r>
        <w:rPr>
          <w:rFonts w:hint="eastAsia"/>
          <w:kern w:val="0"/>
          <w:szCs w:val="32"/>
        </w:rPr>
        <w:t>区生态环境局</w:t>
      </w:r>
      <w:r>
        <w:rPr>
          <w:kern w:val="0"/>
          <w:szCs w:val="32"/>
        </w:rPr>
        <w:t>建立重污染天气监测预警系统；牵头开展人工增雨作业。</w:t>
      </w:r>
    </w:p>
    <w:p>
      <w:pPr>
        <w:snapToGrid w:val="0"/>
        <w:spacing w:line="594" w:lineRule="exact"/>
        <w:ind w:firstLine="640"/>
        <w:rPr>
          <w:szCs w:val="32"/>
        </w:rPr>
      </w:pPr>
      <w:r>
        <w:rPr>
          <w:rFonts w:hint="eastAsia"/>
          <w:szCs w:val="32"/>
        </w:rPr>
        <w:t>各街镇：制定完善本行政区域内重污染天气应急预案，组织开展空气重污染天气应急预案宣传、培训和演练；开展空气重污染天气健康防护措施的宣传工作，组织开展重污染天气应对各项工作。</w:t>
      </w:r>
    </w:p>
    <w:p>
      <w:pPr>
        <w:ind w:firstLine="640"/>
        <w:rPr>
          <w:kern w:val="0"/>
          <w:szCs w:val="32"/>
        </w:rPr>
        <w:sectPr>
          <w:headerReference r:id="rId16" w:type="first"/>
          <w:footerReference r:id="rId19" w:type="first"/>
          <w:headerReference r:id="rId14" w:type="default"/>
          <w:footerReference r:id="rId17" w:type="default"/>
          <w:headerReference r:id="rId15" w:type="even"/>
          <w:footerReference r:id="rId18" w:type="even"/>
          <w:pgSz w:w="11906" w:h="16838"/>
          <w:pgMar w:top="2098" w:right="1474" w:bottom="1985" w:left="1588" w:header="851" w:footer="992" w:gutter="0"/>
          <w:cols w:space="720" w:num="1"/>
          <w:docGrid w:type="lines" w:linePitch="381" w:charSpace="0"/>
        </w:sectPr>
      </w:pPr>
    </w:p>
    <w:p>
      <w:pPr>
        <w:pStyle w:val="2"/>
        <w:adjustRightInd w:val="0"/>
        <w:jc w:val="both"/>
        <w:rPr>
          <w:rFonts w:eastAsia="方正黑体_GBK"/>
          <w:b w:val="0"/>
          <w:sz w:val="32"/>
          <w:szCs w:val="32"/>
        </w:rPr>
      </w:pPr>
      <w:bookmarkStart w:id="194" w:name="_Toc101966229"/>
      <w:bookmarkStart w:id="195" w:name="_Toc95922341"/>
      <w:bookmarkStart w:id="196" w:name="_Toc90560934"/>
      <w:r>
        <w:rPr>
          <w:rFonts w:eastAsia="方正黑体_GBK"/>
          <w:b w:val="0"/>
          <w:sz w:val="32"/>
          <w:szCs w:val="32"/>
        </w:rPr>
        <w:t>附件2</w:t>
      </w:r>
      <w:bookmarkEnd w:id="194"/>
      <w:bookmarkEnd w:id="195"/>
    </w:p>
    <w:p>
      <w:pPr>
        <w:jc w:val="center"/>
        <w:rPr>
          <w:rFonts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长寿区重污染天气应急响应组织架构图</w:t>
      </w:r>
    </w:p>
    <w:p>
      <w:pPr>
        <w:spacing w:line="400" w:lineRule="exact"/>
        <w:jc w:val="center"/>
        <w:rPr>
          <w:rFonts w:ascii="方正小标宋_GBK" w:hAnsi="方正小标宋_GBK" w:eastAsia="方正小标宋_GBK" w:cs="方正小标宋_GBK"/>
          <w:sz w:val="24"/>
        </w:rPr>
      </w:pPr>
    </w:p>
    <w:tbl>
      <w:tblPr>
        <w:tblStyle w:val="19"/>
        <w:tblW w:w="7609" w:type="dxa"/>
        <w:tblInd w:w="33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7609" w:type="dxa"/>
            <w:vAlign w:val="center"/>
          </w:tcPr>
          <w:p>
            <w:pPr>
              <w:jc w:val="center"/>
              <w:rPr>
                <w:rFonts w:ascii="Calibri" w:hAnsi="Calibri" w:eastAsia="等线"/>
                <w:sz w:val="24"/>
              </w:rPr>
            </w:pPr>
            <w:r>
              <w:rPr>
                <w:rFonts w:hint="eastAsia" w:ascii="宋体" w:hAnsi="宋体" w:eastAsia="宋体" w:cs="宋体"/>
                <w:sz w:val="24"/>
              </w:rPr>
              <w:t>长寿区重污染天气应急工作指挥部</w:t>
            </w:r>
          </w:p>
        </w:tc>
      </w:tr>
    </w:tbl>
    <w:p>
      <w:r>
        <w:rPr>
          <w:sz w:val="21"/>
        </w:rPr>
        <w:pict>
          <v:line id="直接连接符 8" o:spid="_x0000_s1028" o:spt="20" style="position:absolute;left:0pt;margin-left:343.55pt;margin-top:1.75pt;height:15pt;width:0.05pt;z-index:251665408;mso-width-relative:page;mso-height-relative:page;" o:preferrelative="t" coordsize="21600,21600">
            <v:path arrowok="t"/>
            <v:fill focussize="0,0"/>
            <v:stroke weight="0.5pt" miterlimit="2"/>
            <v:imagedata o:title=""/>
            <o:lock v:ext="edit"/>
          </v:line>
        </w:pict>
      </w:r>
    </w:p>
    <w:tbl>
      <w:tblPr>
        <w:tblStyle w:val="19"/>
        <w:tblW w:w="129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71" w:type="dxa"/>
          </w:tcPr>
          <w:p>
            <w:pPr>
              <w:spacing w:line="260" w:lineRule="exact"/>
              <w:rPr>
                <w:rFonts w:ascii="宋体" w:hAnsi="宋体" w:eastAsia="宋体" w:cs="宋体"/>
                <w:sz w:val="20"/>
                <w:szCs w:val="20"/>
              </w:rPr>
            </w:pPr>
            <w:r>
              <w:rPr>
                <w:rFonts w:hint="eastAsia" w:ascii="宋体" w:hAnsi="宋体" w:eastAsia="宋体" w:cs="宋体"/>
                <w:sz w:val="20"/>
                <w:szCs w:val="20"/>
              </w:rPr>
              <w:t>指挥长：区政府分管负责人。</w:t>
            </w:r>
          </w:p>
          <w:p>
            <w:pPr>
              <w:spacing w:line="260" w:lineRule="exact"/>
              <w:rPr>
                <w:rFonts w:ascii="宋体" w:hAnsi="宋体" w:eastAsia="宋体" w:cs="宋体"/>
                <w:sz w:val="20"/>
                <w:szCs w:val="20"/>
              </w:rPr>
            </w:pPr>
            <w:r>
              <w:rPr>
                <w:rFonts w:hint="eastAsia" w:ascii="宋体" w:hAnsi="宋体" w:eastAsia="宋体" w:cs="宋体"/>
                <w:sz w:val="20"/>
                <w:szCs w:val="20"/>
              </w:rPr>
              <w:t>副指挥长：区政府办有关副主任，区生态环境局主要负责人。</w:t>
            </w:r>
          </w:p>
          <w:p>
            <w:pPr>
              <w:spacing w:line="260" w:lineRule="exact"/>
              <w:rPr>
                <w:rFonts w:ascii="Calibri" w:hAnsi="Calibri"/>
                <w:sz w:val="20"/>
                <w:szCs w:val="22"/>
              </w:rPr>
            </w:pPr>
            <w:r>
              <w:rPr>
                <w:rFonts w:hint="eastAsia" w:ascii="宋体" w:hAnsi="宋体" w:eastAsia="宋体" w:cs="宋体"/>
                <w:sz w:val="20"/>
                <w:szCs w:val="20"/>
              </w:rPr>
              <w:t>职责：召开区指挥部会议，研究部署处置过程中的重大事宜；向市政府和区委、区政府报告应对情况；审定上报信息和对外发布的新闻稿件，指导做好总结评估工作。</w:t>
            </w:r>
          </w:p>
        </w:tc>
      </w:tr>
    </w:tbl>
    <w:p>
      <w:r>
        <w:rPr>
          <w:sz w:val="21"/>
        </w:rPr>
        <w:pict>
          <v:line id="直接连接符 5" o:spid="_x0000_s1029" o:spt="20" style="position:absolute;left:0pt;margin-left:342.7pt;margin-top:0.65pt;height:31.4pt;width:0.05pt;z-index:251662336;mso-width-relative:page;mso-height-relative:page;" o:preferrelative="t" coordsize="21600,21600">
            <v:path arrowok="t"/>
            <v:fill focussize="0,0"/>
            <v:stroke weight="0.5pt" miterlimit="2" endarrow="block"/>
            <v:imagedata o:title=""/>
            <o:lock v:ext="edit"/>
          </v:line>
        </w:pict>
      </w:r>
    </w:p>
    <w:p>
      <w:r>
        <w:rPr>
          <w:sz w:val="21"/>
        </w:rPr>
        <w:pict>
          <v:line id="直接连接符 4" o:spid="_x0000_s1030" o:spt="20" style="position:absolute;left:0pt;margin-left:200.2pt;margin-top:1.4pt;height:16.7pt;width:0.05pt;z-index:251661312;mso-width-relative:page;mso-height-relative:page;" o:preferrelative="t" coordsize="21600,21600">
            <v:path arrowok="t"/>
            <v:fill focussize="0,0"/>
            <v:stroke weight="0.5pt" miterlimit="2" endarrow="block"/>
            <v:imagedata o:title=""/>
            <o:lock v:ext="edit"/>
          </v:line>
        </w:pict>
      </w:r>
      <w:r>
        <w:rPr>
          <w:sz w:val="21"/>
        </w:rPr>
        <w:pict>
          <v:line id="直接连接符 29" o:spid="_x0000_s1031" o:spt="20" style="position:absolute;left:0pt;margin-left:629.35pt;margin-top:0.55pt;height:16.7pt;width:0.05pt;z-index:251664384;mso-width-relative:page;mso-height-relative:page;" o:preferrelative="t" coordsize="21600,21600">
            <v:path arrowok="t"/>
            <v:fill focussize="0,0"/>
            <v:stroke weight="0.5pt" miterlimit="2" endarrow="block"/>
            <v:imagedata o:title=""/>
            <o:lock v:ext="edit"/>
          </v:line>
        </w:pict>
      </w:r>
      <w:r>
        <w:rPr>
          <w:sz w:val="21"/>
        </w:rPr>
        <w:pict>
          <v:line id="直接连接符 6" o:spid="_x0000_s1032" o:spt="20" style="position:absolute;left:0pt;margin-left:479.35pt;margin-top:1.4pt;height:16.7pt;width:0.05pt;z-index:251663360;mso-width-relative:page;mso-height-relative:page;" o:preferrelative="t" coordsize="21600,21600">
            <v:path arrowok="t"/>
            <v:fill focussize="0,0"/>
            <v:stroke weight="0.5pt" miterlimit="2" endarrow="block"/>
            <v:imagedata o:title=""/>
            <o:lock v:ext="edit"/>
          </v:line>
        </w:pict>
      </w:r>
      <w:r>
        <w:rPr>
          <w:sz w:val="21"/>
        </w:rPr>
        <w:pict>
          <v:line id="直接连接符 3" o:spid="_x0000_s1033" o:spt="20" style="position:absolute;left:0pt;margin-left:56.05pt;margin-top:0.55pt;height:16.7pt;width:0.05pt;z-index:251660288;mso-width-relative:page;mso-height-relative:page;" o:preferrelative="t" coordsize="21600,21600">
            <v:path arrowok="t"/>
            <v:fill focussize="0,0"/>
            <v:stroke weight="0.5pt" miterlimit="2" endarrow="block"/>
            <v:imagedata o:title=""/>
            <o:lock v:ext="edit"/>
          </v:line>
        </w:pict>
      </w:r>
      <w:r>
        <w:rPr>
          <w:sz w:val="21"/>
        </w:rPr>
        <w:pict>
          <v:line id="直接连接符 2" o:spid="_x0000_s1034" o:spt="20" style="position:absolute;left:0pt;margin-left:56.05pt;margin-top:0.55pt;height:0.05pt;width:574.15pt;z-index:251659264;mso-width-relative:page;mso-height-relative:page;" o:preferrelative="t" coordsize="21600,21600">
            <v:path arrowok="t"/>
            <v:fill focussize="0,0"/>
            <v:stroke weight="0.5pt" miterlimit="2"/>
            <v:imagedata o:title=""/>
            <o:lock v:ext="edit"/>
          </v:line>
        </w:pict>
      </w:r>
    </w:p>
    <w:tbl>
      <w:tblPr>
        <w:tblStyle w:val="19"/>
        <w:tblW w:w="140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0"/>
        <w:gridCol w:w="236"/>
        <w:gridCol w:w="2610"/>
        <w:gridCol w:w="236"/>
        <w:gridCol w:w="2611"/>
        <w:gridCol w:w="236"/>
        <w:gridCol w:w="2611"/>
        <w:gridCol w:w="240"/>
        <w:gridCol w:w="2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9" w:type="dxa"/>
          </w:tcPr>
          <w:p>
            <w:pPr>
              <w:spacing w:line="260" w:lineRule="exact"/>
              <w:rPr>
                <w:rFonts w:ascii="Calibri" w:hAnsi="Calibri" w:eastAsia="等线"/>
                <w:sz w:val="20"/>
                <w:szCs w:val="22"/>
              </w:rPr>
            </w:pPr>
            <w:r>
              <w:rPr>
                <w:rFonts w:hint="eastAsia" w:ascii="Calibri" w:hAnsi="Calibri"/>
                <w:sz w:val="20"/>
                <w:szCs w:val="22"/>
              </w:rPr>
              <w:t>综合协调组：区生态环境局牵头，区应急局、区政府等参加。主要职责：负责履行信息汇总和综合协调职责，发挥信息枢纽作用；传达上级有关指示；协调调配有关应急资源；协调各工作组全力开展应对工作。</w:t>
            </w:r>
          </w:p>
        </w:tc>
        <w:tc>
          <w:tcPr>
            <w:tcW w:w="222" w:type="dxa"/>
            <w:tcBorders>
              <w:top w:val="nil"/>
              <w:bottom w:val="nil"/>
            </w:tcBorders>
          </w:tcPr>
          <w:p>
            <w:pPr>
              <w:spacing w:line="260" w:lineRule="exact"/>
              <w:rPr>
                <w:rFonts w:ascii="Calibri" w:hAnsi="Calibri"/>
                <w:sz w:val="20"/>
                <w:szCs w:val="22"/>
              </w:rPr>
            </w:pPr>
          </w:p>
        </w:tc>
        <w:tc>
          <w:tcPr>
            <w:tcW w:w="2619" w:type="dxa"/>
          </w:tcPr>
          <w:p>
            <w:pPr>
              <w:spacing w:line="260" w:lineRule="exact"/>
              <w:rPr>
                <w:rFonts w:ascii="Calibri" w:hAnsi="Calibri" w:eastAsia="等线"/>
                <w:sz w:val="20"/>
                <w:szCs w:val="22"/>
              </w:rPr>
            </w:pPr>
            <w:r>
              <w:rPr>
                <w:rFonts w:hint="eastAsia" w:ascii="Calibri" w:hAnsi="Calibri"/>
                <w:sz w:val="20"/>
                <w:szCs w:val="22"/>
              </w:rPr>
              <w:t>工业应急组：区经济信息委、区生态环境局牵头，区国资委、区应急局、国网重庆长寿供电公司、区政府等参加。主要职责：负责指导和检查重点企业专项实施方案的编制和执行情况；督促相关企业储备优质煤炭，开展限产减排等措施；优化发电排序和电力调度；负责对违规排污的企业依法实行严格的处罚等。</w:t>
            </w:r>
          </w:p>
        </w:tc>
        <w:tc>
          <w:tcPr>
            <w:tcW w:w="222" w:type="dxa"/>
            <w:tcBorders>
              <w:top w:val="nil"/>
              <w:bottom w:val="nil"/>
            </w:tcBorders>
          </w:tcPr>
          <w:p>
            <w:pPr>
              <w:spacing w:line="260" w:lineRule="exact"/>
              <w:rPr>
                <w:rFonts w:ascii="Calibri" w:hAnsi="Calibri"/>
                <w:sz w:val="20"/>
                <w:szCs w:val="22"/>
              </w:rPr>
            </w:pPr>
          </w:p>
        </w:tc>
        <w:tc>
          <w:tcPr>
            <w:tcW w:w="2619" w:type="dxa"/>
          </w:tcPr>
          <w:p>
            <w:pPr>
              <w:spacing w:line="260" w:lineRule="exact"/>
              <w:rPr>
                <w:rFonts w:ascii="Calibri" w:hAnsi="Calibri" w:eastAsia="等线"/>
                <w:sz w:val="20"/>
                <w:szCs w:val="22"/>
              </w:rPr>
            </w:pPr>
            <w:r>
              <w:rPr>
                <w:rFonts w:hint="eastAsia" w:ascii="Calibri" w:hAnsi="Calibri"/>
                <w:sz w:val="20"/>
                <w:szCs w:val="22"/>
              </w:rPr>
              <w:t>城市扬尘应急组：区城市管理局牵头，区住房城乡建委、区交通局、区农业农村委、区公安局、区生态环境局等参加。主要职责：负责对各类道路扬尘、施工扬尘的控制与检查；加大洒水清扫保洁力度；督促各类施工工地停工，搅拌站、物料码头和渣土消纳场暂停生产；加大对易撒漏物质密闭运输及露天焚烧秸秆等行为的检查力度；监督落实响应区域内堆场覆盖、喷淋等措施。</w:t>
            </w:r>
          </w:p>
        </w:tc>
        <w:tc>
          <w:tcPr>
            <w:tcW w:w="222" w:type="dxa"/>
            <w:tcBorders>
              <w:top w:val="nil"/>
              <w:bottom w:val="nil"/>
            </w:tcBorders>
          </w:tcPr>
          <w:p>
            <w:pPr>
              <w:spacing w:line="260" w:lineRule="exact"/>
              <w:rPr>
                <w:rFonts w:ascii="Calibri" w:hAnsi="Calibri"/>
                <w:sz w:val="20"/>
                <w:szCs w:val="22"/>
              </w:rPr>
            </w:pPr>
          </w:p>
        </w:tc>
        <w:tc>
          <w:tcPr>
            <w:tcW w:w="2619" w:type="dxa"/>
          </w:tcPr>
          <w:p>
            <w:pPr>
              <w:spacing w:line="260" w:lineRule="exact"/>
              <w:rPr>
                <w:rFonts w:ascii="Calibri" w:hAnsi="Calibri" w:eastAsia="等线"/>
                <w:sz w:val="20"/>
                <w:szCs w:val="22"/>
              </w:rPr>
            </w:pPr>
            <w:r>
              <w:rPr>
                <w:rFonts w:hint="eastAsia" w:ascii="Calibri" w:hAnsi="Calibri"/>
                <w:sz w:val="20"/>
                <w:szCs w:val="22"/>
              </w:rPr>
              <w:t>机动车排气应急组：区公安局、区生态环境局、区交通局牵头，区</w:t>
            </w:r>
            <w:bookmarkStart w:id="197" w:name="_GoBack"/>
            <w:bookmarkEnd w:id="197"/>
            <w:r>
              <w:rPr>
                <w:rFonts w:hint="eastAsia" w:ascii="Calibri" w:hAnsi="Calibri"/>
                <w:sz w:val="20"/>
                <w:szCs w:val="22"/>
              </w:rPr>
              <w:t>市场监督</w:t>
            </w:r>
            <w:r>
              <w:rPr>
                <w:rFonts w:hint="eastAsia" w:ascii="Calibri" w:hAnsi="Calibri"/>
                <w:sz w:val="20"/>
                <w:szCs w:val="22"/>
                <w:lang w:eastAsia="zh-CN"/>
              </w:rPr>
              <w:t>管理</w:t>
            </w:r>
            <w:r>
              <w:rPr>
                <w:rFonts w:hint="eastAsia" w:ascii="Calibri" w:hAnsi="Calibri"/>
                <w:sz w:val="20"/>
                <w:szCs w:val="22"/>
              </w:rPr>
              <w:t>局等参加。主要职责：负责开展道路行驶车辆的执法检查；强化路检、抽检频次，查处排放超标车辆和排放黑烟车辆进入禁行区行驶；落实高排放机动车应急限行措施，开展公共交通出行的倡议宣传，优化公交运力，保障市民公共交通出行；负责强化交通指挥、保障道路畅通。</w:t>
            </w:r>
          </w:p>
        </w:tc>
        <w:tc>
          <w:tcPr>
            <w:tcW w:w="240" w:type="dxa"/>
            <w:tcBorders>
              <w:top w:val="nil"/>
              <w:bottom w:val="nil"/>
            </w:tcBorders>
          </w:tcPr>
          <w:p>
            <w:pPr>
              <w:spacing w:line="260" w:lineRule="exact"/>
              <w:rPr>
                <w:rFonts w:ascii="Calibri" w:hAnsi="Calibri"/>
                <w:sz w:val="20"/>
                <w:szCs w:val="22"/>
              </w:rPr>
            </w:pPr>
          </w:p>
        </w:tc>
        <w:tc>
          <w:tcPr>
            <w:tcW w:w="2619" w:type="dxa"/>
          </w:tcPr>
          <w:p>
            <w:pPr>
              <w:spacing w:line="260" w:lineRule="exact"/>
              <w:rPr>
                <w:rFonts w:ascii="Calibri" w:hAnsi="Calibri" w:eastAsia="等线"/>
                <w:sz w:val="20"/>
                <w:szCs w:val="22"/>
              </w:rPr>
            </w:pPr>
            <w:r>
              <w:rPr>
                <w:rFonts w:hint="eastAsia" w:ascii="Calibri" w:hAnsi="Calibri"/>
                <w:sz w:val="20"/>
                <w:szCs w:val="22"/>
              </w:rPr>
              <w:t>宣传引导组：区委宣传部、区生态环境局牵头，区委网信办等参加。主要职责：及时、准确、正面、客观发布权威信息；汇集相关舆情；组织开展宣传报道；做好舆论引导工作。</w:t>
            </w:r>
          </w:p>
        </w:tc>
      </w:tr>
    </w:tbl>
    <w:p/>
    <w:tbl>
      <w:tblPr>
        <w:tblStyle w:val="19"/>
        <w:tblW w:w="129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2"/>
        <w:gridCol w:w="3242"/>
        <w:gridCol w:w="3243"/>
        <w:gridCol w:w="3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2" w:type="dxa"/>
            <w:vAlign w:val="center"/>
          </w:tcPr>
          <w:p>
            <w:pPr>
              <w:jc w:val="left"/>
              <w:rPr>
                <w:rFonts w:ascii="等线" w:hAnsi="等线" w:eastAsia="等线"/>
                <w:sz w:val="21"/>
              </w:rPr>
            </w:pPr>
            <w:r>
              <w:rPr>
                <w:rFonts w:hint="eastAsia" w:ascii="等线" w:hAnsi="等线" w:eastAsia="等线"/>
                <w:sz w:val="21"/>
              </w:rPr>
              <w:t>区委宣传部：40244313</w:t>
            </w:r>
          </w:p>
          <w:p>
            <w:pPr>
              <w:jc w:val="left"/>
              <w:rPr>
                <w:rFonts w:ascii="等线" w:hAnsi="等线" w:eastAsia="等线"/>
                <w:sz w:val="21"/>
              </w:rPr>
            </w:pPr>
            <w:r>
              <w:rPr>
                <w:rFonts w:hint="eastAsia" w:ascii="等线" w:hAnsi="等线" w:eastAsia="等线"/>
                <w:sz w:val="21"/>
              </w:rPr>
              <w:t>区委网信办：40244223</w:t>
            </w:r>
          </w:p>
          <w:p>
            <w:pPr>
              <w:jc w:val="left"/>
              <w:rPr>
                <w:rFonts w:ascii="等线" w:hAnsi="等线" w:eastAsia="等线"/>
                <w:sz w:val="21"/>
              </w:rPr>
            </w:pPr>
            <w:r>
              <w:rPr>
                <w:rFonts w:hint="eastAsia" w:ascii="等线" w:hAnsi="等线" w:eastAsia="等线"/>
                <w:sz w:val="21"/>
              </w:rPr>
              <w:t>区教委：40244343</w:t>
            </w:r>
          </w:p>
          <w:p>
            <w:pPr>
              <w:jc w:val="left"/>
              <w:rPr>
                <w:rFonts w:ascii="等线" w:hAnsi="等线" w:eastAsia="等线"/>
                <w:sz w:val="21"/>
              </w:rPr>
            </w:pPr>
            <w:r>
              <w:rPr>
                <w:rFonts w:hint="eastAsia" w:ascii="等线" w:hAnsi="等线" w:eastAsia="等线"/>
                <w:sz w:val="21"/>
              </w:rPr>
              <w:t>区经济信息委：40244710</w:t>
            </w:r>
          </w:p>
          <w:p>
            <w:pPr>
              <w:jc w:val="left"/>
              <w:rPr>
                <w:rFonts w:ascii="Calibri" w:hAnsi="Calibri"/>
              </w:rPr>
            </w:pPr>
            <w:r>
              <w:rPr>
                <w:rFonts w:hint="eastAsia" w:ascii="等线" w:hAnsi="等线" w:eastAsia="等线"/>
                <w:sz w:val="21"/>
              </w:rPr>
              <w:t>区公安局：40666999</w:t>
            </w:r>
          </w:p>
        </w:tc>
        <w:tc>
          <w:tcPr>
            <w:tcW w:w="3242" w:type="dxa"/>
            <w:vAlign w:val="center"/>
          </w:tcPr>
          <w:p>
            <w:pPr>
              <w:jc w:val="left"/>
              <w:rPr>
                <w:rFonts w:ascii="等线" w:hAnsi="等线" w:eastAsia="等线"/>
                <w:sz w:val="21"/>
              </w:rPr>
            </w:pPr>
            <w:r>
              <w:rPr>
                <w:rFonts w:hint="eastAsia" w:ascii="等线" w:hAnsi="等线" w:eastAsia="等线"/>
                <w:sz w:val="21"/>
              </w:rPr>
              <w:t>区财政局：40244319</w:t>
            </w:r>
          </w:p>
          <w:p>
            <w:pPr>
              <w:jc w:val="left"/>
              <w:rPr>
                <w:rFonts w:ascii="等线" w:hAnsi="等线" w:eastAsia="等线"/>
                <w:sz w:val="21"/>
              </w:rPr>
            </w:pPr>
            <w:r>
              <w:rPr>
                <w:rFonts w:hint="eastAsia" w:ascii="等线" w:hAnsi="等线" w:eastAsia="等线"/>
                <w:sz w:val="21"/>
              </w:rPr>
              <w:t>区生态环境局：40460053</w:t>
            </w:r>
          </w:p>
          <w:p>
            <w:pPr>
              <w:jc w:val="left"/>
              <w:rPr>
                <w:rFonts w:ascii="等线" w:hAnsi="等线" w:eastAsia="等线"/>
                <w:sz w:val="21"/>
              </w:rPr>
            </w:pPr>
            <w:r>
              <w:rPr>
                <w:rFonts w:hint="eastAsia" w:ascii="等线" w:hAnsi="等线" w:eastAsia="等线"/>
                <w:sz w:val="21"/>
              </w:rPr>
              <w:t>区住房城乡建委：40244863</w:t>
            </w:r>
          </w:p>
          <w:p>
            <w:pPr>
              <w:jc w:val="left"/>
              <w:rPr>
                <w:rFonts w:ascii="等线" w:hAnsi="等线" w:eastAsia="等线"/>
                <w:sz w:val="21"/>
              </w:rPr>
            </w:pPr>
            <w:r>
              <w:rPr>
                <w:rFonts w:hint="eastAsia" w:ascii="等线" w:hAnsi="等线" w:eastAsia="等线"/>
                <w:sz w:val="21"/>
              </w:rPr>
              <w:t>区城市管理局：40240919</w:t>
            </w:r>
          </w:p>
          <w:p>
            <w:pPr>
              <w:jc w:val="left"/>
              <w:rPr>
                <w:rFonts w:ascii="Calibri" w:hAnsi="Calibri"/>
              </w:rPr>
            </w:pPr>
            <w:r>
              <w:rPr>
                <w:rFonts w:hint="eastAsia" w:ascii="等线" w:hAnsi="等线" w:eastAsia="等线"/>
                <w:sz w:val="21"/>
              </w:rPr>
              <w:t>区交通局：40244965</w:t>
            </w:r>
          </w:p>
        </w:tc>
        <w:tc>
          <w:tcPr>
            <w:tcW w:w="3243" w:type="dxa"/>
            <w:vAlign w:val="center"/>
          </w:tcPr>
          <w:p>
            <w:pPr>
              <w:jc w:val="left"/>
              <w:rPr>
                <w:rFonts w:ascii="等线" w:hAnsi="等线" w:eastAsia="等线"/>
                <w:sz w:val="21"/>
              </w:rPr>
            </w:pPr>
            <w:r>
              <w:rPr>
                <w:rFonts w:hint="eastAsia" w:ascii="等线" w:hAnsi="等线" w:eastAsia="等线"/>
                <w:sz w:val="21"/>
              </w:rPr>
              <w:t>区农业农村委：40405620</w:t>
            </w:r>
          </w:p>
          <w:p>
            <w:pPr>
              <w:jc w:val="left"/>
              <w:rPr>
                <w:rFonts w:ascii="等线" w:hAnsi="等线" w:eastAsia="等线"/>
                <w:sz w:val="21"/>
              </w:rPr>
            </w:pPr>
            <w:r>
              <w:rPr>
                <w:rFonts w:hint="eastAsia" w:ascii="等线" w:hAnsi="等线" w:eastAsia="等线"/>
                <w:sz w:val="21"/>
              </w:rPr>
              <w:t>区文化旅游委：40244356</w:t>
            </w:r>
          </w:p>
          <w:p>
            <w:pPr>
              <w:jc w:val="left"/>
              <w:rPr>
                <w:rFonts w:ascii="等线" w:hAnsi="等线" w:eastAsia="等线"/>
                <w:sz w:val="21"/>
              </w:rPr>
            </w:pPr>
            <w:r>
              <w:rPr>
                <w:rFonts w:hint="eastAsia" w:ascii="等线" w:hAnsi="等线" w:eastAsia="等线"/>
                <w:sz w:val="21"/>
              </w:rPr>
              <w:t>区卫生健康委：40233128</w:t>
            </w:r>
          </w:p>
          <w:p>
            <w:pPr>
              <w:jc w:val="left"/>
              <w:rPr>
                <w:rFonts w:ascii="等线" w:hAnsi="等线" w:eastAsia="等线"/>
                <w:sz w:val="21"/>
              </w:rPr>
            </w:pPr>
            <w:r>
              <w:rPr>
                <w:rFonts w:hint="eastAsia" w:ascii="等线" w:hAnsi="等线" w:eastAsia="等线"/>
                <w:sz w:val="21"/>
              </w:rPr>
              <w:t>区应急局：40241136</w:t>
            </w:r>
          </w:p>
          <w:p>
            <w:pPr>
              <w:jc w:val="left"/>
              <w:rPr>
                <w:rFonts w:ascii="Calibri" w:hAnsi="Calibri"/>
              </w:rPr>
            </w:pPr>
            <w:r>
              <w:rPr>
                <w:rFonts w:hint="eastAsia" w:ascii="等线" w:hAnsi="等线" w:eastAsia="等线"/>
                <w:sz w:val="21"/>
              </w:rPr>
              <w:t>区国资委：40232329</w:t>
            </w:r>
          </w:p>
        </w:tc>
        <w:tc>
          <w:tcPr>
            <w:tcW w:w="3244" w:type="dxa"/>
            <w:vAlign w:val="center"/>
          </w:tcPr>
          <w:p>
            <w:pPr>
              <w:jc w:val="left"/>
              <w:rPr>
                <w:rFonts w:ascii="等线" w:hAnsi="等线" w:eastAsia="等线"/>
                <w:sz w:val="21"/>
              </w:rPr>
            </w:pPr>
            <w:r>
              <w:rPr>
                <w:rFonts w:hint="eastAsia" w:ascii="等线" w:hAnsi="等线" w:eastAsia="等线"/>
                <w:sz w:val="21"/>
              </w:rPr>
              <w:t>长寿高新区服务中心：40289036</w:t>
            </w:r>
          </w:p>
          <w:p>
            <w:pPr>
              <w:jc w:val="left"/>
              <w:rPr>
                <w:rFonts w:ascii="Calibri" w:hAnsi="Calibri"/>
              </w:rPr>
            </w:pPr>
            <w:r>
              <w:rPr>
                <w:rFonts w:hint="eastAsia" w:ascii="等线" w:hAnsi="等线" w:eastAsia="等线"/>
                <w:sz w:val="21"/>
              </w:rPr>
              <w:t>长寿经开区：</w:t>
            </w:r>
          </w:p>
          <w:p>
            <w:pPr>
              <w:jc w:val="left"/>
              <w:rPr>
                <w:rFonts w:ascii="等线" w:hAnsi="等线" w:eastAsia="等线"/>
                <w:sz w:val="21"/>
              </w:rPr>
            </w:pPr>
            <w:r>
              <w:rPr>
                <w:rFonts w:hint="eastAsia" w:ascii="等线" w:hAnsi="等线" w:eastAsia="等线"/>
                <w:sz w:val="21"/>
              </w:rPr>
              <w:t>区市场监管局：61029005</w:t>
            </w:r>
          </w:p>
          <w:p>
            <w:pPr>
              <w:jc w:val="left"/>
              <w:rPr>
                <w:rFonts w:ascii="等线" w:hAnsi="等线" w:eastAsia="等线"/>
                <w:sz w:val="21"/>
              </w:rPr>
            </w:pPr>
            <w:r>
              <w:rPr>
                <w:rFonts w:hint="eastAsia" w:ascii="等线" w:hAnsi="等线" w:eastAsia="等线"/>
                <w:sz w:val="21"/>
              </w:rPr>
              <w:t>区气象局：40400629</w:t>
            </w:r>
          </w:p>
          <w:p>
            <w:pPr>
              <w:jc w:val="left"/>
              <w:rPr>
                <w:rFonts w:ascii="Calibri" w:hAnsi="Calibri"/>
              </w:rPr>
            </w:pPr>
            <w:r>
              <w:rPr>
                <w:rFonts w:hint="eastAsia" w:ascii="等线" w:hAnsi="等线" w:eastAsia="等线"/>
                <w:sz w:val="21"/>
              </w:rPr>
              <w:t>国网重庆长寿供电公司：40266836</w:t>
            </w:r>
          </w:p>
        </w:tc>
      </w:tr>
    </w:tbl>
    <w:p>
      <w:r>
        <w:br w:type="page"/>
      </w:r>
    </w:p>
    <w:p>
      <w:pPr>
        <w:pStyle w:val="2"/>
        <w:adjustRightInd w:val="0"/>
        <w:spacing w:before="0" w:after="0" w:line="240" w:lineRule="auto"/>
        <w:jc w:val="both"/>
        <w:rPr>
          <w:rFonts w:eastAsia="方正黑体_GBK"/>
          <w:b w:val="0"/>
          <w:sz w:val="32"/>
          <w:szCs w:val="32"/>
        </w:rPr>
      </w:pPr>
      <w:r>
        <w:rPr>
          <w:rFonts w:eastAsia="方正黑体_GBK"/>
          <w:b w:val="0"/>
          <w:sz w:val="32"/>
          <w:szCs w:val="32"/>
        </w:rPr>
        <w:t>附件3</w:t>
      </w:r>
    </w:p>
    <w:p>
      <w:pPr>
        <w:jc w:val="center"/>
        <w:rPr>
          <w:rFonts w:ascii="方正小标宋_GBK" w:hAnsi="方正小标宋_GBK" w:eastAsia="方正小标宋_GBK" w:cs="方正小标宋_GBK"/>
          <w:sz w:val="36"/>
          <w:szCs w:val="36"/>
        </w:rPr>
      </w:pPr>
      <w:r>
        <w:rPr>
          <w:sz w:val="21"/>
        </w:rPr>
        <w:pict>
          <v:group id="Group 56" o:spid="_x0000_s1035" o:spt="203" style="position:absolute;left:0pt;margin-left:45.1pt;margin-top:36.45pt;height:435.45pt;width:572.15pt;z-index:251666432;mso-width-relative:page;mso-height-relative:page;" coordorigin="13530,558128" coordsize="11443,8709">
            <o:lock v:ext="edit"/>
            <v:roundrect id="圆角矩形 51" o:spid="_x0000_s1036" o:spt="2" style="position:absolute;left:15492;top:561696;height:2069;width:6600;" o:preferrelative="t" coordsize="21600,21600" arcsize="0.166666666666667">
              <v:path/>
              <v:fill focussize="0,0"/>
              <v:stroke miterlimit="2" dashstyle="dash"/>
              <v:imagedata o:title=""/>
              <o:lock v:ext="edit"/>
            </v:roundrect>
            <v:roundrect id="圆角矩形 52" o:spid="_x0000_s1037" o:spt="2" style="position:absolute;left:15556;top:563946;height:784;width:6600;" o:preferrelative="t" coordsize="21600,21600" arcsize="0.166666666666667">
              <v:path/>
              <v:fill focussize="0,0"/>
              <v:stroke miterlimit="2" dashstyle="dash"/>
              <v:imagedata o:title=""/>
              <o:lock v:ext="edit"/>
            </v:roundrect>
            <v:rect id="矩形 9" o:spid="_x0000_s1038" o:spt="1" style="position:absolute;left:16419;top:558128;height:663;width:1917;" o:preferrelative="t" coordsize="21600,21600">
              <v:path/>
              <v:fill focussize="0,0"/>
              <v:stroke weight="1pt" miterlimit="2"/>
              <v:imagedata o:title=""/>
              <o:lock v:ext="edit"/>
              <v:textbox>
                <w:txbxContent>
                  <w:p>
                    <w:pPr>
                      <w:spacing w:line="240" w:lineRule="exact"/>
                      <w:jc w:val="center"/>
                      <w:rPr>
                        <w:sz w:val="18"/>
                        <w:szCs w:val="18"/>
                      </w:rPr>
                    </w:pPr>
                    <w:r>
                      <w:rPr>
                        <w:rFonts w:hint="eastAsia"/>
                        <w:sz w:val="18"/>
                        <w:szCs w:val="18"/>
                      </w:rPr>
                      <w:t>区生态环境局</w:t>
                    </w:r>
                  </w:p>
                  <w:p>
                    <w:pPr>
                      <w:spacing w:line="240" w:lineRule="exact"/>
                      <w:jc w:val="center"/>
                      <w:rPr>
                        <w:sz w:val="18"/>
                        <w:szCs w:val="18"/>
                      </w:rPr>
                    </w:pPr>
                    <w:r>
                      <w:rPr>
                        <w:rFonts w:hint="eastAsia"/>
                        <w:sz w:val="18"/>
                        <w:szCs w:val="18"/>
                      </w:rPr>
                      <w:t>区气象局</w:t>
                    </w:r>
                  </w:p>
                </w:txbxContent>
              </v:textbox>
            </v:rect>
            <v:rect id="矩形 10" o:spid="_x0000_s1039" o:spt="1" style="position:absolute;left:19019;top:558128;height:662;width:2467;" o:preferrelative="t" coordsize="21600,21600">
              <v:path/>
              <v:fill focussize="0,0"/>
              <v:stroke weight="1pt" miterlimit="2"/>
              <v:imagedata o:title=""/>
              <o:lock v:ext="edit"/>
              <v:textbox>
                <w:txbxContent>
                  <w:p>
                    <w:pPr>
                      <w:spacing w:line="240" w:lineRule="exact"/>
                      <w:jc w:val="center"/>
                      <w:rPr>
                        <w:sz w:val="18"/>
                        <w:szCs w:val="18"/>
                      </w:rPr>
                    </w:pPr>
                    <w:r>
                      <w:rPr>
                        <w:rFonts w:hint="eastAsia"/>
                        <w:sz w:val="18"/>
                        <w:szCs w:val="18"/>
                      </w:rPr>
                      <w:t>西南区域空气质量</w:t>
                    </w:r>
                  </w:p>
                  <w:p>
                    <w:pPr>
                      <w:spacing w:line="240" w:lineRule="exact"/>
                      <w:jc w:val="center"/>
                      <w:rPr>
                        <w:sz w:val="18"/>
                        <w:szCs w:val="18"/>
                      </w:rPr>
                    </w:pPr>
                    <w:r>
                      <w:rPr>
                        <w:rFonts w:hint="eastAsia"/>
                        <w:sz w:val="18"/>
                        <w:szCs w:val="18"/>
                      </w:rPr>
                      <w:t>预测预报中心</w:t>
                    </w:r>
                  </w:p>
                </w:txbxContent>
              </v:textbox>
            </v:rect>
            <v:rect id="矩形 11" o:spid="_x0000_s1040" o:spt="1" style="position:absolute;left:18027;top:559532;height:350;width:1387;" o:preferrelative="t" coordsize="21600,21600">
              <v:path/>
              <v:fill focussize="0,0"/>
              <v:stroke weight="1pt" miterlimit="2"/>
              <v:imagedata o:title=""/>
              <o:lock v:ext="edit"/>
              <v:textbox>
                <w:txbxContent>
                  <w:p>
                    <w:pPr>
                      <w:spacing w:line="200" w:lineRule="exact"/>
                      <w:jc w:val="center"/>
                      <w:rPr>
                        <w:sz w:val="18"/>
                        <w:szCs w:val="18"/>
                      </w:rPr>
                    </w:pPr>
                    <w:r>
                      <w:rPr>
                        <w:rFonts w:hint="eastAsia"/>
                        <w:sz w:val="18"/>
                        <w:szCs w:val="18"/>
                      </w:rPr>
                      <w:t>监测会商</w:t>
                    </w:r>
                  </w:p>
                </w:txbxContent>
              </v:textbox>
            </v:rect>
            <v:rect id="矩形 12" o:spid="_x0000_s1041" o:spt="1" style="position:absolute;left:18013;top:560268;height:350;width:1387;" o:preferrelative="t" coordsize="21600,21600">
              <v:path/>
              <v:fill focussize="0,0"/>
              <v:stroke weight="1pt" miterlimit="2"/>
              <v:imagedata o:title=""/>
              <o:lock v:ext="edit"/>
              <v:textbox>
                <w:txbxContent>
                  <w:p>
                    <w:pPr>
                      <w:spacing w:line="200" w:lineRule="exact"/>
                      <w:jc w:val="center"/>
                      <w:rPr>
                        <w:sz w:val="18"/>
                        <w:szCs w:val="18"/>
                      </w:rPr>
                    </w:pPr>
                    <w:r>
                      <w:rPr>
                        <w:rFonts w:hint="eastAsia"/>
                        <w:sz w:val="18"/>
                        <w:szCs w:val="18"/>
                      </w:rPr>
                      <w:t>预测建议</w:t>
                    </w:r>
                  </w:p>
                </w:txbxContent>
              </v:textbox>
            </v:rect>
            <v:rect id="矩形 13" o:spid="_x0000_s1042" o:spt="1" style="position:absolute;left:17511;top:560964;height:581;width:2366;" o:preferrelative="t" coordsize="21600,21600">
              <v:path/>
              <v:fill focussize="0,0"/>
              <v:stroke weight="1pt" miterlimit="2"/>
              <v:imagedata o:title=""/>
              <o:lock v:ext="edit"/>
              <v:textbox>
                <w:txbxContent>
                  <w:p>
                    <w:pPr>
                      <w:spacing w:line="220" w:lineRule="exact"/>
                      <w:jc w:val="center"/>
                      <w:rPr>
                        <w:sz w:val="18"/>
                        <w:szCs w:val="18"/>
                      </w:rPr>
                    </w:pPr>
                    <w:r>
                      <w:rPr>
                        <w:rFonts w:hint="eastAsia"/>
                        <w:sz w:val="18"/>
                        <w:szCs w:val="18"/>
                      </w:rPr>
                      <w:t>区指挥部办公室提出预警建议（调整、升级）</w:t>
                    </w:r>
                  </w:p>
                </w:txbxContent>
              </v:textbox>
            </v:rect>
            <v:rect id="矩形 14" o:spid="_x0000_s1043" o:spt="1" style="position:absolute;left:15888;top:562069;height:581;width:2148;" o:preferrelative="t" coordsize="21600,21600">
              <v:path/>
              <v:fill focussize="0,0"/>
              <v:stroke weight="1pt" miterlimit="2"/>
              <v:imagedata o:title=""/>
              <o:lock v:ext="edit"/>
              <v:textbox>
                <w:txbxContent>
                  <w:p>
                    <w:pPr>
                      <w:spacing w:line="220" w:lineRule="exact"/>
                      <w:jc w:val="center"/>
                      <w:rPr>
                        <w:sz w:val="18"/>
                        <w:szCs w:val="18"/>
                      </w:rPr>
                    </w:pPr>
                    <w:r>
                      <w:rPr>
                        <w:rFonts w:hint="eastAsia"/>
                        <w:sz w:val="18"/>
                        <w:szCs w:val="18"/>
                      </w:rPr>
                      <w:t>区指挥部办公室</w:t>
                    </w:r>
                  </w:p>
                  <w:p>
                    <w:pPr>
                      <w:spacing w:line="220" w:lineRule="exact"/>
                      <w:jc w:val="center"/>
                      <w:rPr>
                        <w:sz w:val="18"/>
                        <w:szCs w:val="18"/>
                      </w:rPr>
                    </w:pPr>
                    <w:r>
                      <w:rPr>
                        <w:rFonts w:hint="eastAsia"/>
                        <w:sz w:val="18"/>
                        <w:szCs w:val="18"/>
                      </w:rPr>
                      <w:t>发布并报区指挥部备案</w:t>
                    </w:r>
                  </w:p>
                </w:txbxContent>
              </v:textbox>
            </v:rect>
            <v:rect id="矩形 15" o:spid="_x0000_s1044" o:spt="1" style="position:absolute;left:18793;top:562083;height:581;width:2363;" o:preferrelative="t" coordsize="21600,21600">
              <v:path/>
              <v:fill focussize="0,0"/>
              <v:stroke weight="1pt" miterlimit="2"/>
              <v:imagedata o:title=""/>
              <o:lock v:ext="edit"/>
              <v:textbox>
                <w:txbxContent>
                  <w:p>
                    <w:pPr>
                      <w:spacing w:line="220" w:lineRule="exact"/>
                      <w:jc w:val="center"/>
                      <w:rPr>
                        <w:sz w:val="18"/>
                        <w:szCs w:val="18"/>
                      </w:rPr>
                    </w:pPr>
                    <w:r>
                      <w:rPr>
                        <w:rFonts w:hint="eastAsia"/>
                        <w:sz w:val="18"/>
                        <w:szCs w:val="18"/>
                      </w:rPr>
                      <w:t>区指挥部或区指挥部</w:t>
                    </w:r>
                  </w:p>
                  <w:p>
                    <w:pPr>
                      <w:spacing w:line="220" w:lineRule="exact"/>
                      <w:jc w:val="center"/>
                      <w:rPr>
                        <w:sz w:val="18"/>
                        <w:szCs w:val="18"/>
                      </w:rPr>
                    </w:pPr>
                    <w:r>
                      <w:rPr>
                        <w:rFonts w:hint="eastAsia"/>
                        <w:sz w:val="18"/>
                        <w:szCs w:val="18"/>
                      </w:rPr>
                      <w:t>授权区指挥部办公室发布</w:t>
                    </w:r>
                  </w:p>
                </w:txbxContent>
              </v:textbox>
            </v:rect>
            <v:rect id="矩形 16" o:spid="_x0000_s1045" o:spt="1" style="position:absolute;left:16294;top:563173;height:350;width:1387;" o:preferrelative="t" coordsize="21600,21600">
              <v:path/>
              <v:fill focussize="0,0"/>
              <v:stroke weight="1pt" miterlimit="2"/>
              <v:imagedata o:title=""/>
              <o:lock v:ext="edit"/>
              <v:textbox>
                <w:txbxContent>
                  <w:p>
                    <w:pPr>
                      <w:spacing w:line="220" w:lineRule="exact"/>
                      <w:jc w:val="center"/>
                      <w:rPr>
                        <w:sz w:val="18"/>
                        <w:szCs w:val="18"/>
                      </w:rPr>
                    </w:pPr>
                    <w:r>
                      <w:rPr>
                        <w:rFonts w:hint="eastAsia"/>
                        <w:sz w:val="18"/>
                        <w:szCs w:val="18"/>
                      </w:rPr>
                      <w:t>黄色预警</w:t>
                    </w:r>
                  </w:p>
                </w:txbxContent>
              </v:textbox>
            </v:rect>
            <v:rect id="矩形 17" o:spid="_x0000_s1046" o:spt="1" style="position:absolute;left:18271;top:563187;height:350;width:1387;" o:preferrelative="t" coordsize="21600,21600">
              <v:path/>
              <v:fill focussize="0,0"/>
              <v:stroke weight="1pt" miterlimit="2"/>
              <v:imagedata o:title=""/>
              <o:lock v:ext="edit"/>
              <v:textbox>
                <w:txbxContent>
                  <w:p>
                    <w:pPr>
                      <w:spacing w:line="220" w:lineRule="exact"/>
                      <w:jc w:val="center"/>
                      <w:rPr>
                        <w:sz w:val="18"/>
                        <w:szCs w:val="18"/>
                      </w:rPr>
                    </w:pPr>
                    <w:r>
                      <w:rPr>
                        <w:rFonts w:hint="eastAsia"/>
                        <w:sz w:val="18"/>
                        <w:szCs w:val="18"/>
                      </w:rPr>
                      <w:t>橙色预警</w:t>
                    </w:r>
                  </w:p>
                </w:txbxContent>
              </v:textbox>
            </v:rect>
            <v:rect id="矩形 18" o:spid="_x0000_s1047" o:spt="1" style="position:absolute;left:20425;top:563173;height:350;width:1387;" o:preferrelative="t" coordsize="21600,21600">
              <v:path/>
              <v:fill focussize="0,0"/>
              <v:stroke weight="1pt" miterlimit="2"/>
              <v:imagedata o:title=""/>
              <o:lock v:ext="edit"/>
              <v:textbox>
                <w:txbxContent>
                  <w:p>
                    <w:pPr>
                      <w:spacing w:line="220" w:lineRule="exact"/>
                      <w:jc w:val="center"/>
                      <w:rPr>
                        <w:sz w:val="18"/>
                        <w:szCs w:val="18"/>
                      </w:rPr>
                    </w:pPr>
                    <w:r>
                      <w:rPr>
                        <w:rFonts w:hint="eastAsia"/>
                        <w:sz w:val="18"/>
                        <w:szCs w:val="18"/>
                      </w:rPr>
                      <w:t>红色预警</w:t>
                    </w:r>
                  </w:p>
                </w:txbxContent>
              </v:textbox>
            </v:rect>
            <v:rect id="矩形 21" o:spid="_x0000_s1048" o:spt="1" style="position:absolute;left:16214;top:564141;height:350;width:1454;" o:preferrelative="t" coordsize="21600,21600">
              <v:path/>
              <v:fill focussize="0,0"/>
              <v:stroke weight="1pt" miterlimit="2"/>
              <v:imagedata o:title=""/>
              <o:lock v:ext="edit"/>
              <v:textbox>
                <w:txbxContent>
                  <w:p>
                    <w:pPr>
                      <w:spacing w:line="220" w:lineRule="exact"/>
                      <w:jc w:val="center"/>
                      <w:rPr>
                        <w:sz w:val="18"/>
                        <w:szCs w:val="18"/>
                      </w:rPr>
                    </w:pPr>
                    <w:r>
                      <w:rPr>
                        <w:rFonts w:hint="eastAsia"/>
                        <w:sz w:val="18"/>
                        <w:szCs w:val="18"/>
                      </w:rPr>
                      <w:t>应急响应</w:t>
                    </w:r>
                    <w:r>
                      <w:rPr>
                        <w:rFonts w:hint="eastAsia"/>
                        <w:sz w:val="18"/>
                        <w:szCs w:val="18"/>
                      </w:rPr>
                      <w:fldChar w:fldCharType="begin"/>
                    </w:r>
                    <w:r>
                      <w:rPr>
                        <w:rFonts w:hint="eastAsia"/>
                        <w:sz w:val="18"/>
                        <w:szCs w:val="18"/>
                      </w:rPr>
                      <w:instrText xml:space="preserve"> = 3 \* ROMAN \* MERGEFORMAT </w:instrText>
                    </w:r>
                    <w:r>
                      <w:rPr>
                        <w:rFonts w:hint="eastAsia"/>
                        <w:sz w:val="18"/>
                        <w:szCs w:val="18"/>
                      </w:rPr>
                      <w:fldChar w:fldCharType="separate"/>
                    </w:r>
                    <w:r>
                      <w:t>III</w:t>
                    </w:r>
                    <w:r>
                      <w:rPr>
                        <w:rFonts w:hint="eastAsia"/>
                        <w:sz w:val="18"/>
                        <w:szCs w:val="18"/>
                      </w:rPr>
                      <w:fldChar w:fldCharType="end"/>
                    </w:r>
                    <w:r>
                      <w:rPr>
                        <w:rFonts w:hint="eastAsia"/>
                        <w:sz w:val="18"/>
                        <w:szCs w:val="18"/>
                      </w:rPr>
                      <w:t>级</w:t>
                    </w:r>
                  </w:p>
                </w:txbxContent>
              </v:textbox>
            </v:rect>
            <v:rect id="矩形 20" o:spid="_x0000_s1049" o:spt="1" style="position:absolute;left:18258;top:564155;height:350;width:1387;" o:preferrelative="t" coordsize="21600,21600">
              <v:path/>
              <v:fill focussize="0,0"/>
              <v:stroke weight="1pt" miterlimit="2"/>
              <v:imagedata o:title=""/>
              <o:lock v:ext="edit"/>
              <v:textbox>
                <w:txbxContent>
                  <w:p>
                    <w:pPr>
                      <w:spacing w:line="220" w:lineRule="exact"/>
                      <w:jc w:val="center"/>
                      <w:rPr>
                        <w:sz w:val="18"/>
                        <w:szCs w:val="18"/>
                      </w:rPr>
                    </w:pPr>
                    <w:r>
                      <w:rPr>
                        <w:rFonts w:hint="eastAsia"/>
                        <w:sz w:val="18"/>
                        <w:szCs w:val="18"/>
                      </w:rPr>
                      <w:t>应急响应</w:t>
                    </w:r>
                    <w:r>
                      <w:rPr>
                        <w:rFonts w:hint="eastAsia"/>
                        <w:sz w:val="18"/>
                        <w:szCs w:val="18"/>
                      </w:rPr>
                      <w:fldChar w:fldCharType="begin"/>
                    </w:r>
                    <w:r>
                      <w:rPr>
                        <w:rFonts w:hint="eastAsia"/>
                        <w:sz w:val="18"/>
                        <w:szCs w:val="18"/>
                      </w:rPr>
                      <w:instrText xml:space="preserve"> = 2 \* ROMAN \* MERGEFORMAT </w:instrText>
                    </w:r>
                    <w:r>
                      <w:rPr>
                        <w:rFonts w:hint="eastAsia"/>
                        <w:sz w:val="18"/>
                        <w:szCs w:val="18"/>
                      </w:rPr>
                      <w:fldChar w:fldCharType="separate"/>
                    </w:r>
                    <w:r>
                      <w:t>II</w:t>
                    </w:r>
                    <w:r>
                      <w:rPr>
                        <w:rFonts w:hint="eastAsia"/>
                        <w:sz w:val="18"/>
                        <w:szCs w:val="18"/>
                      </w:rPr>
                      <w:fldChar w:fldCharType="end"/>
                    </w:r>
                    <w:r>
                      <w:rPr>
                        <w:rFonts w:hint="eastAsia"/>
                        <w:sz w:val="18"/>
                        <w:szCs w:val="18"/>
                      </w:rPr>
                      <w:t>级</w:t>
                    </w:r>
                  </w:p>
                  <w:p/>
                </w:txbxContent>
              </v:textbox>
            </v:rect>
            <v:rect id="矩形 19" o:spid="_x0000_s1050" o:spt="1" style="position:absolute;left:20412;top:564141;height:350;width:1387;" o:preferrelative="t" coordsize="21600,21600">
              <v:path/>
              <v:fill focussize="0,0"/>
              <v:stroke weight="1pt" miterlimit="2"/>
              <v:imagedata o:title=""/>
              <o:lock v:ext="edit"/>
              <v:textbox>
                <w:txbxContent>
                  <w:p>
                    <w:pPr>
                      <w:spacing w:line="220" w:lineRule="exact"/>
                      <w:jc w:val="center"/>
                      <w:rPr>
                        <w:sz w:val="18"/>
                        <w:szCs w:val="18"/>
                      </w:rPr>
                    </w:pPr>
                    <w:r>
                      <w:rPr>
                        <w:rFonts w:hint="eastAsia"/>
                        <w:sz w:val="18"/>
                        <w:szCs w:val="18"/>
                      </w:rPr>
                      <w:t>应急响应</w:t>
                    </w:r>
                    <w:r>
                      <w:rPr>
                        <w:rFonts w:hint="eastAsia"/>
                        <w:sz w:val="18"/>
                        <w:szCs w:val="18"/>
                      </w:rPr>
                      <w:fldChar w:fldCharType="begin"/>
                    </w:r>
                    <w:r>
                      <w:rPr>
                        <w:rFonts w:hint="eastAsia"/>
                        <w:sz w:val="18"/>
                        <w:szCs w:val="18"/>
                      </w:rPr>
                      <w:instrText xml:space="preserve"> = 1 \* ROMAN \* MERGEFORMAT </w:instrText>
                    </w:r>
                    <w:r>
                      <w:rPr>
                        <w:rFonts w:hint="eastAsia"/>
                        <w:sz w:val="18"/>
                        <w:szCs w:val="18"/>
                      </w:rPr>
                      <w:fldChar w:fldCharType="separate"/>
                    </w:r>
                    <w:r>
                      <w:t>I</w:t>
                    </w:r>
                    <w:r>
                      <w:rPr>
                        <w:rFonts w:hint="eastAsia"/>
                        <w:sz w:val="18"/>
                        <w:szCs w:val="18"/>
                      </w:rPr>
                      <w:fldChar w:fldCharType="end"/>
                    </w:r>
                    <w:r>
                      <w:rPr>
                        <w:rFonts w:hint="eastAsia"/>
                        <w:sz w:val="18"/>
                        <w:szCs w:val="18"/>
                      </w:rPr>
                      <w:t>级</w:t>
                    </w:r>
                  </w:p>
                  <w:p/>
                </w:txbxContent>
              </v:textbox>
            </v:rect>
            <v:rect id="矩形 22" o:spid="_x0000_s1051" o:spt="1" style="position:absolute;left:18052;top:565205;height:350;width:1810;" o:preferrelative="t" coordsize="21600,21600">
              <v:path/>
              <v:fill focussize="0,0"/>
              <v:stroke weight="1pt" miterlimit="2"/>
              <v:imagedata o:title=""/>
              <o:lock v:ext="edit"/>
              <v:textbox>
                <w:txbxContent>
                  <w:p>
                    <w:pPr>
                      <w:spacing w:line="220" w:lineRule="exact"/>
                    </w:pPr>
                    <w:r>
                      <w:rPr>
                        <w:rFonts w:hint="eastAsia"/>
                        <w:sz w:val="18"/>
                        <w:szCs w:val="18"/>
                      </w:rPr>
                      <w:t>符合应急解除条件</w:t>
                    </w:r>
                  </w:p>
                </w:txbxContent>
              </v:textbox>
            </v:rect>
            <v:rect id="矩形 23" o:spid="_x0000_s1052" o:spt="1" style="position:absolute;left:18231;top:565832;height:350;width:1387;" o:preferrelative="t" coordsize="21600,21600">
              <v:path/>
              <v:fill focussize="0,0"/>
              <v:stroke weight="1pt" miterlimit="2"/>
              <v:imagedata o:title=""/>
              <o:lock v:ext="edit"/>
              <v:textbox>
                <w:txbxContent>
                  <w:p>
                    <w:pPr>
                      <w:spacing w:line="220" w:lineRule="exact"/>
                      <w:jc w:val="center"/>
                      <w:rPr>
                        <w:sz w:val="18"/>
                        <w:szCs w:val="18"/>
                      </w:rPr>
                    </w:pPr>
                    <w:r>
                      <w:rPr>
                        <w:rFonts w:hint="eastAsia"/>
                        <w:sz w:val="18"/>
                        <w:szCs w:val="18"/>
                      </w:rPr>
                      <w:t>终止响应</w:t>
                    </w:r>
                  </w:p>
                </w:txbxContent>
              </v:textbox>
            </v:rect>
            <v:rect id="矩形 24" o:spid="_x0000_s1053" o:spt="1" style="position:absolute;left:18286;top:566487;height:350;width:1387;" o:preferrelative="t" coordsize="21600,21600">
              <v:path/>
              <v:fill focussize="0,0"/>
              <v:stroke weight="1pt" miterlimit="2"/>
              <v:imagedata o:title=""/>
              <o:lock v:ext="edit"/>
              <v:textbox>
                <w:txbxContent>
                  <w:p>
                    <w:pPr>
                      <w:spacing w:line="220" w:lineRule="exact"/>
                      <w:jc w:val="center"/>
                      <w:rPr>
                        <w:sz w:val="18"/>
                        <w:szCs w:val="18"/>
                      </w:rPr>
                    </w:pPr>
                    <w:r>
                      <w:rPr>
                        <w:rFonts w:hint="eastAsia"/>
                        <w:sz w:val="18"/>
                        <w:szCs w:val="18"/>
                      </w:rPr>
                      <w:t>总结评估</w:t>
                    </w:r>
                  </w:p>
                </w:txbxContent>
              </v:textbox>
            </v:rect>
            <v:rect id="矩形 25" o:spid="_x0000_s1054" o:spt="1" style="position:absolute;left:22611;top:562383;height:581;width:2363;" o:preferrelative="t" coordsize="21600,21600">
              <v:path/>
              <v:fill focussize="0,0"/>
              <v:stroke weight="1pt" miterlimit="2"/>
              <v:imagedata o:title=""/>
              <o:lock v:ext="edit"/>
              <v:textbox>
                <w:txbxContent>
                  <w:p>
                    <w:pPr>
                      <w:spacing w:line="220" w:lineRule="exact"/>
                      <w:jc w:val="center"/>
                      <w:rPr>
                        <w:sz w:val="18"/>
                        <w:szCs w:val="18"/>
                      </w:rPr>
                    </w:pPr>
                    <w:r>
                      <w:rPr>
                        <w:rFonts w:hint="eastAsia"/>
                        <w:sz w:val="18"/>
                        <w:szCs w:val="18"/>
                      </w:rPr>
                      <w:t>报送市生态环境局</w:t>
                    </w:r>
                  </w:p>
                  <w:p>
                    <w:pPr>
                      <w:spacing w:line="220" w:lineRule="exact"/>
                      <w:jc w:val="center"/>
                      <w:rPr>
                        <w:sz w:val="18"/>
                        <w:szCs w:val="18"/>
                      </w:rPr>
                    </w:pPr>
                    <w:r>
                      <w:rPr>
                        <w:rFonts w:hint="eastAsia"/>
                        <w:sz w:val="18"/>
                        <w:szCs w:val="18"/>
                      </w:rPr>
                      <w:t>抄送……</w:t>
                    </w:r>
                  </w:p>
                </w:txbxContent>
              </v:textbox>
            </v:rect>
            <v:rect id="矩形 26" o:spid="_x0000_s1055" o:spt="1" style="position:absolute;left:22584;top:563924;height:840;width:1751;" o:preferrelative="t" coordsize="21600,21600">
              <v:path/>
              <v:fill focussize="0,0"/>
              <v:stroke weight="1pt" miterlimit="2"/>
              <v:imagedata o:title=""/>
              <o:lock v:ext="edit"/>
              <v:textbox>
                <w:txbxContent>
                  <w:p>
                    <w:pPr>
                      <w:spacing w:line="220" w:lineRule="exact"/>
                      <w:jc w:val="center"/>
                      <w:rPr>
                        <w:sz w:val="18"/>
                        <w:szCs w:val="18"/>
                      </w:rPr>
                    </w:pPr>
                    <w:r>
                      <w:rPr>
                        <w:rFonts w:hint="eastAsia"/>
                        <w:sz w:val="18"/>
                        <w:szCs w:val="18"/>
                      </w:rPr>
                      <w:t>区指挥部工作组及区政府组织开展应急响应工作</w:t>
                    </w:r>
                  </w:p>
                </w:txbxContent>
              </v:textbox>
            </v:rect>
            <v:rect id="矩形 27" o:spid="_x0000_s1056" o:spt="1" style="position:absolute;left:13530;top:563883;height:1057;width:1751;" o:preferrelative="t" coordsize="21600,21600">
              <v:path/>
              <v:fill focussize="0,0"/>
              <v:stroke weight="1pt" miterlimit="2"/>
              <v:imagedata o:title=""/>
              <o:lock v:ext="edit"/>
              <v:textbox>
                <w:txbxContent>
                  <w:p>
                    <w:pPr>
                      <w:spacing w:line="220" w:lineRule="exact"/>
                      <w:jc w:val="center"/>
                      <w:rPr>
                        <w:sz w:val="18"/>
                        <w:szCs w:val="18"/>
                      </w:rPr>
                    </w:pPr>
                    <w:r>
                      <w:rPr>
                        <w:rFonts w:hint="eastAsia"/>
                        <w:sz w:val="18"/>
                        <w:szCs w:val="18"/>
                      </w:rPr>
                      <w:t>区政府组织开展应急响应工作，区级有关部门加强检查、指导和督促</w:t>
                    </w:r>
                  </w:p>
                </w:txbxContent>
              </v:textbox>
            </v:rect>
            <v:shape id="肘形连接符 30" o:spid="_x0000_s1057" o:spt="33" type="#_x0000_t33" style="position:absolute;left:18648;top:557521;flip:y;height:2904;width:364;rotation:17694720f;" filled="t" o:preferrelative="t" coordsize="21600,21600">
              <v:path arrowok="t"/>
              <v:fill on="t" focussize="0,0"/>
              <v:stroke weight="0.5pt" miterlimit="2"/>
              <v:imagedata o:title=""/>
              <o:lock v:ext="edit"/>
            </v:shape>
            <v:line id="直接连接符 31" o:spid="_x0000_s1058" o:spt="20" style="position:absolute;left:20253;top:558790;flip:x y;height:379;width:16;" o:preferrelative="t" coordsize="21600,21600">
              <v:path arrowok="t"/>
              <v:fill focussize="0,0"/>
              <v:stroke weight="0.5pt" miterlimit="2"/>
              <v:imagedata o:title=""/>
              <o:lock v:ext="edit"/>
            </v:line>
            <v:shape id="直接箭头连接符 32" o:spid="_x0000_s1059" o:spt="32" type="#_x0000_t32" style="position:absolute;left:18714;top:559169;height:363;width:7;" filled="t" o:preferrelative="t" coordsize="21600,21600">
              <v:path arrowok="t"/>
              <v:fill on="t" focussize="0,0"/>
              <v:stroke weight="0.5pt" miterlimit="2" endarrow="block"/>
              <v:imagedata o:title=""/>
              <o:lock v:ext="edit"/>
            </v:shape>
            <v:shape id="直接箭头连接符 33" o:spid="_x0000_s1060" o:spt="32" type="#_x0000_t32" style="position:absolute;left:18686;top:559933;height:363;width:7;" filled="t" o:preferrelative="t" coordsize="21600,21600">
              <v:path arrowok="t"/>
              <v:fill on="t" focussize="0,0"/>
              <v:stroke weight="0.5pt" miterlimit="2" endarrow="block"/>
              <v:imagedata o:title=""/>
              <o:lock v:ext="edit"/>
            </v:shape>
            <v:shape id="直接箭头连接符 34" o:spid="_x0000_s1061" o:spt="32" type="#_x0000_t32" style="position:absolute;left:18673;top:560643;height:363;width:7;" filled="t" o:preferrelative="t" coordsize="21600,21600">
              <v:path arrowok="t"/>
              <v:fill on="t" focussize="0,0"/>
              <v:stroke weight="0.5pt" miterlimit="2" endarrow="block"/>
              <v:imagedata o:title=""/>
              <o:lock v:ext="edit"/>
            </v:shape>
            <v:shape id="肘形连接符 35" o:spid="_x0000_s1062" o:spt="33" type="#_x0000_t33" style="position:absolute;left:18355;top:560434;height:3038;width:232;rotation:17694720f;" filled="t" o:preferrelative="t" coordsize="21600,21600">
              <v:path arrowok="t"/>
              <v:fill on="t" focussize="0,0"/>
              <v:stroke weight="0.5pt" miterlimit="2" startarrow="block"/>
              <v:imagedata o:title=""/>
              <o:lock v:ext="edit"/>
            </v:shape>
            <v:line id="直接连接符 36" o:spid="_x0000_s1063" o:spt="20" style="position:absolute;left:19986;top:561831;flip:y;height:265;width:7;" o:preferrelative="t" coordsize="21600,21600">
              <v:path arrowok="t"/>
              <v:fill focussize="0,0"/>
              <v:stroke weight="0.5pt" miterlimit="2" startarrow="block"/>
              <v:imagedata o:title=""/>
              <o:lock v:ext="edit"/>
            </v:line>
            <v:line id="直接连接符 37" o:spid="_x0000_s1064" o:spt="20" style="position:absolute;left:18632;top:561545;flip:y;height:287;width:1;" o:preferrelative="t" coordsize="21600,21600">
              <v:path arrowok="t"/>
              <v:fill focussize="0,0"/>
              <v:stroke weight="0.5pt" miterlimit="2"/>
              <v:imagedata o:title=""/>
              <o:lock v:ext="edit"/>
            </v:line>
            <v:shape id="直接箭头连接符 38" o:spid="_x0000_s1065" o:spt="32" type="#_x0000_t32" style="position:absolute;left:16988;top:562687;height:486;width:1;" filled="t" o:preferrelative="t" coordsize="21600,21600">
              <v:path arrowok="t"/>
              <v:fill on="t" focussize="0,0"/>
              <v:stroke weight="0.5pt" miterlimit="2" endarrow="block"/>
              <v:imagedata o:title=""/>
              <o:lock v:ext="edit"/>
            </v:shape>
            <v:shape id="直接箭头连接符 39" o:spid="_x0000_s1066" o:spt="32" type="#_x0000_t32" style="position:absolute;left:16988;top:563557;height:584;width:3;" filled="t" o:preferrelative="t" coordsize="21600,21600">
              <v:path arrowok="t"/>
              <v:fill on="t" focussize="0,0"/>
              <v:stroke weight="0.5pt" miterlimit="2" endarrow="block"/>
              <v:imagedata o:title=""/>
              <o:lock v:ext="edit"/>
            </v:shape>
            <v:shape id="直接箭头连接符 40" o:spid="_x0000_s1067" o:spt="32" type="#_x0000_t32" style="position:absolute;left:18968;top:563557;height:584;width:3;" filled="t" o:preferrelative="t" coordsize="21600,21600">
              <v:path arrowok="t"/>
              <v:fill on="t" focussize="0,0"/>
              <v:stroke weight="0.5pt" miterlimit="2" endarrow="block"/>
              <v:imagedata o:title=""/>
              <o:lock v:ext="edit"/>
            </v:shape>
            <v:shape id="直接箭头连接符 41" o:spid="_x0000_s1068" o:spt="32" type="#_x0000_t32" style="position:absolute;left:21108;top:563557;height:584;width:3;" filled="t" o:preferrelative="t" coordsize="21600,21600">
              <v:path arrowok="t"/>
              <v:fill on="t" focussize="0,0"/>
              <v:stroke weight="0.5pt" miterlimit="2" endarrow="block"/>
              <v:imagedata o:title=""/>
              <o:lock v:ext="edit"/>
            </v:shape>
            <v:shape id="肘形连接符 43" o:spid="_x0000_s1069" o:spt="33" type="#_x0000_t33" style="position:absolute;left:19914;top:561994;height:2143;width:243;rotation:17694720f;" filled="t" o:preferrelative="t" coordsize="21600,21600">
              <v:path arrowok="t"/>
              <v:fill on="t" focussize="0,0"/>
              <v:stroke weight="0.5pt" miterlimit="2" startarrow="block"/>
              <v:imagedata o:title=""/>
              <o:lock v:ext="edit"/>
            </v:shape>
            <v:line id="直接连接符 44" o:spid="_x0000_s1070" o:spt="20" style="position:absolute;left:21106;top:562951;flip:y;height:265;width:7;" o:preferrelative="t" coordsize="21600,21600">
              <v:path arrowok="t"/>
              <v:fill focussize="0,0"/>
              <v:stroke weight="0.5pt" miterlimit="2" startarrow="block"/>
              <v:imagedata o:title=""/>
              <o:lock v:ext="edit"/>
            </v:line>
            <v:line id="直接连接符 42" o:spid="_x0000_s1071" o:spt="20" style="position:absolute;left:19992;top:562665;flip:y;height:287;width:1;" o:preferrelative="t" coordsize="21600,21600">
              <v:path arrowok="t"/>
              <v:fill focussize="0,0"/>
              <v:stroke weight="0.5pt" miterlimit="2"/>
              <v:imagedata o:title=""/>
              <o:lock v:ext="edit"/>
            </v:line>
            <v:shape id="肘形连接符 45" o:spid="_x0000_s1072" o:spt="33" type="#_x0000_t33" style="position:absolute;left:18849;top:562575;flip:y;height:4177;width:350;rotation:17694720f;" filled="t" o:preferrelative="t" coordsize="21600,21600">
              <v:path arrowok="t"/>
              <v:fill on="t" focussize="0,0"/>
              <v:stroke weight="0.5pt" miterlimit="2"/>
              <v:imagedata o:title=""/>
              <o:lock v:ext="edit"/>
            </v:shape>
            <v:line id="直接连接符 46" o:spid="_x0000_s1073" o:spt="20" style="position:absolute;left:21118;top:564495;flip:y;height:343;width:5;" o:preferrelative="t" coordsize="21600,21600">
              <v:path arrowok="t"/>
              <v:fill focussize="0,0"/>
              <v:stroke weight="0.5pt" miterlimit="2"/>
              <v:imagedata o:title=""/>
              <o:lock v:ext="edit"/>
            </v:line>
            <v:shape id="直接箭头连接符 47" o:spid="_x0000_s1074" o:spt="32" type="#_x0000_t32" style="position:absolute;left:18957;top:564537;flip:x;height:668;width:11;" filled="t" o:preferrelative="t" coordsize="21600,21600">
              <v:path arrowok="t"/>
              <v:fill on="t" focussize="0,0"/>
              <v:stroke weight="0.5pt" miterlimit="2" endarrow="block"/>
              <v:imagedata o:title=""/>
              <o:lock v:ext="edit"/>
            </v:shape>
            <v:shape id="直接箭头连接符 48" o:spid="_x0000_s1075" o:spt="32" type="#_x0000_t32" style="position:absolute;left:18958;top:565543;flip:x;height:281;width:5;" filled="t" o:preferrelative="t" coordsize="21600,21600">
              <v:path arrowok="t"/>
              <v:fill on="t" focussize="0,0"/>
              <v:stroke weight="0.5pt" miterlimit="2" endarrow="block"/>
              <v:imagedata o:title=""/>
              <o:lock v:ext="edit"/>
            </v:shape>
            <v:shape id="直接箭头连接符 49" o:spid="_x0000_s1076" o:spt="32" type="#_x0000_t32" style="position:absolute;left:18948;top:566203;flip:x;height:281;width:5;" filled="t" o:preferrelative="t" coordsize="21600,21600">
              <v:path arrowok="t"/>
              <v:fill on="t" focussize="0,0"/>
              <v:stroke weight="0.5pt" miterlimit="2" endarrow="block"/>
              <v:imagedata o:title=""/>
              <o:lock v:ext="edit"/>
            </v:shape>
            <v:shape id="直接箭头连接符 53" o:spid="_x0000_s1077" o:spt="32" type="#_x0000_t32" style="position:absolute;left:22123;top:562700;height:7;width:496;" filled="t" o:preferrelative="t" coordsize="21600,21600">
              <v:path arrowok="t"/>
              <v:fill on="t" focussize="0,0"/>
              <v:stroke weight="0.5pt" miterlimit="2" endarrow="block"/>
              <v:imagedata o:title=""/>
              <o:lock v:ext="edit"/>
            </v:shape>
            <v:shape id="直接箭头连接符 54" o:spid="_x0000_s1078" o:spt="32" type="#_x0000_t32" style="position:absolute;left:22123;top:564372;height:7;width:496;" filled="t" o:preferrelative="t" coordsize="21600,21600">
              <v:path arrowok="t"/>
              <v:fill on="t" focussize="0,0"/>
              <v:stroke weight="0.5pt" miterlimit="2" startarrow="block"/>
              <v:imagedata o:title=""/>
              <o:lock v:ext="edit"/>
            </v:shape>
            <v:shape id="直接箭头连接符 55" o:spid="_x0000_s1079" o:spt="32" type="#_x0000_t32" style="position:absolute;left:15312;top:564335;height:1;width:943;" filled="t" o:preferrelative="t" coordsize="21600,21600">
              <v:path arrowok="t"/>
              <v:fill on="t" focussize="0,0"/>
              <v:stroke weight="0.5pt" miterlimit="2" endarrow="block"/>
              <v:imagedata o:title=""/>
              <o:lock v:ext="edit"/>
            </v:shape>
          </v:group>
        </w:pict>
      </w:r>
      <w:r>
        <w:rPr>
          <w:rFonts w:hint="eastAsia" w:ascii="方正小标宋_GBK" w:hAnsi="方正小标宋_GBK" w:eastAsia="方正小标宋_GBK" w:cs="方正小标宋_GBK"/>
          <w:sz w:val="36"/>
          <w:szCs w:val="36"/>
        </w:rPr>
        <w:t>长寿区重污染天气应急响应流程图</w:t>
      </w:r>
    </w:p>
    <w:bookmarkEnd w:id="196"/>
    <w:p>
      <w:pPr>
        <w:sectPr>
          <w:pgSz w:w="16838" w:h="11906" w:orient="landscape"/>
          <w:pgMar w:top="627" w:right="2098" w:bottom="1474" w:left="1985" w:header="851" w:footer="992" w:gutter="0"/>
          <w:cols w:space="720" w:num="1"/>
          <w:docGrid w:type="lines" w:linePitch="381" w:charSpace="0"/>
        </w:sectPr>
      </w:pPr>
    </w:p>
    <w:p>
      <w:pPr>
        <w:pStyle w:val="2"/>
        <w:adjustRightInd w:val="0"/>
        <w:jc w:val="both"/>
        <w:rPr>
          <w:rFonts w:eastAsia="方正黑体_GBK"/>
          <w:b w:val="0"/>
          <w:sz w:val="32"/>
          <w:szCs w:val="32"/>
        </w:rPr>
      </w:pPr>
      <w:r>
        <w:rPr>
          <w:rFonts w:eastAsia="方正黑体_GBK"/>
          <w:b w:val="0"/>
          <w:sz w:val="32"/>
          <w:szCs w:val="32"/>
        </w:rPr>
        <w:t>附件4</w:t>
      </w:r>
    </w:p>
    <w:p>
      <w:pPr>
        <w:pStyle w:val="6"/>
        <w:ind w:firstLine="0"/>
        <w:jc w:val="center"/>
        <w:rPr>
          <w:rFonts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长寿区重污染天气应急响应减排措施名单表</w:t>
      </w:r>
    </w:p>
    <w:tbl>
      <w:tblPr>
        <w:tblStyle w:val="19"/>
        <w:tblW w:w="91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9"/>
        <w:gridCol w:w="2025"/>
        <w:gridCol w:w="964"/>
        <w:gridCol w:w="1861"/>
        <w:gridCol w:w="1282"/>
        <w:gridCol w:w="897"/>
        <w:gridCol w:w="1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99" w:type="dxa"/>
            <w:vAlign w:val="center"/>
          </w:tcPr>
          <w:p>
            <w:pPr>
              <w:snapToGrid w:val="0"/>
              <w:jc w:val="center"/>
              <w:rPr>
                <w:rFonts w:ascii="Calibri" w:hAnsi="Calibri" w:eastAsia="方正黑体_GBK"/>
                <w:bCs/>
                <w:sz w:val="24"/>
              </w:rPr>
            </w:pPr>
            <w:r>
              <w:rPr>
                <w:rFonts w:ascii="Calibri" w:hAnsi="Calibri" w:eastAsia="方正黑体_GBK"/>
                <w:bCs/>
                <w:sz w:val="24"/>
              </w:rPr>
              <w:t>序号</w:t>
            </w:r>
          </w:p>
        </w:tc>
        <w:tc>
          <w:tcPr>
            <w:tcW w:w="2025" w:type="dxa"/>
            <w:vAlign w:val="center"/>
          </w:tcPr>
          <w:p>
            <w:pPr>
              <w:snapToGrid w:val="0"/>
              <w:jc w:val="center"/>
              <w:rPr>
                <w:rFonts w:ascii="Calibri" w:hAnsi="Calibri" w:eastAsia="方正黑体_GBK"/>
                <w:bCs/>
                <w:sz w:val="24"/>
              </w:rPr>
            </w:pPr>
            <w:r>
              <w:rPr>
                <w:rFonts w:ascii="Calibri" w:hAnsi="Calibri" w:eastAsia="方正黑体_GBK"/>
                <w:bCs/>
                <w:sz w:val="24"/>
              </w:rPr>
              <w:t>企业名称</w:t>
            </w:r>
          </w:p>
        </w:tc>
        <w:tc>
          <w:tcPr>
            <w:tcW w:w="964" w:type="dxa"/>
            <w:vAlign w:val="center"/>
          </w:tcPr>
          <w:p>
            <w:pPr>
              <w:snapToGrid w:val="0"/>
              <w:jc w:val="center"/>
              <w:rPr>
                <w:rFonts w:ascii="Calibri" w:hAnsi="Calibri" w:eastAsia="方正黑体_GBK"/>
                <w:bCs/>
                <w:sz w:val="24"/>
              </w:rPr>
            </w:pPr>
            <w:r>
              <w:rPr>
                <w:rFonts w:ascii="Calibri" w:hAnsi="Calibri" w:eastAsia="方正黑体_GBK"/>
                <w:bCs/>
                <w:sz w:val="24"/>
              </w:rPr>
              <w:t>所属</w:t>
            </w:r>
          </w:p>
          <w:p>
            <w:pPr>
              <w:snapToGrid w:val="0"/>
              <w:jc w:val="center"/>
              <w:rPr>
                <w:rFonts w:ascii="Calibri" w:hAnsi="Calibri" w:eastAsia="方正黑体_GBK"/>
                <w:bCs/>
                <w:sz w:val="24"/>
              </w:rPr>
            </w:pPr>
            <w:r>
              <w:rPr>
                <w:rFonts w:ascii="Calibri" w:hAnsi="Calibri" w:eastAsia="方正黑体_GBK"/>
                <w:bCs/>
                <w:sz w:val="24"/>
              </w:rPr>
              <w:t>区域</w:t>
            </w:r>
          </w:p>
        </w:tc>
        <w:tc>
          <w:tcPr>
            <w:tcW w:w="1861" w:type="dxa"/>
            <w:vAlign w:val="center"/>
          </w:tcPr>
          <w:p>
            <w:pPr>
              <w:snapToGrid w:val="0"/>
              <w:jc w:val="center"/>
              <w:rPr>
                <w:rFonts w:ascii="Calibri" w:hAnsi="Calibri" w:eastAsia="方正黑体_GBK"/>
                <w:bCs/>
                <w:sz w:val="24"/>
              </w:rPr>
            </w:pPr>
            <w:r>
              <w:rPr>
                <w:rFonts w:ascii="Calibri" w:hAnsi="Calibri" w:eastAsia="方正黑体_GBK"/>
                <w:bCs/>
                <w:sz w:val="24"/>
              </w:rPr>
              <w:t>详细地址</w:t>
            </w:r>
          </w:p>
        </w:tc>
        <w:tc>
          <w:tcPr>
            <w:tcW w:w="1282" w:type="dxa"/>
            <w:vAlign w:val="center"/>
          </w:tcPr>
          <w:p>
            <w:pPr>
              <w:snapToGrid w:val="0"/>
              <w:jc w:val="center"/>
              <w:rPr>
                <w:rFonts w:ascii="Calibri" w:hAnsi="Calibri" w:eastAsia="方正黑体_GBK"/>
                <w:bCs/>
                <w:sz w:val="24"/>
              </w:rPr>
            </w:pPr>
            <w:r>
              <w:rPr>
                <w:rFonts w:ascii="Calibri" w:hAnsi="Calibri" w:eastAsia="方正黑体_GBK"/>
                <w:bCs/>
                <w:sz w:val="24"/>
              </w:rPr>
              <w:t>行业类别</w:t>
            </w:r>
          </w:p>
        </w:tc>
        <w:tc>
          <w:tcPr>
            <w:tcW w:w="897" w:type="dxa"/>
            <w:vAlign w:val="center"/>
          </w:tcPr>
          <w:p>
            <w:pPr>
              <w:snapToGrid w:val="0"/>
              <w:jc w:val="center"/>
              <w:rPr>
                <w:rFonts w:ascii="Calibri" w:hAnsi="Calibri" w:eastAsia="方正黑体_GBK"/>
                <w:bCs/>
                <w:sz w:val="24"/>
              </w:rPr>
            </w:pPr>
            <w:r>
              <w:rPr>
                <w:rFonts w:ascii="Calibri" w:hAnsi="Calibri" w:eastAsia="方正黑体_GBK"/>
                <w:bCs/>
                <w:sz w:val="24"/>
              </w:rPr>
              <w:t>审核</w:t>
            </w:r>
          </w:p>
          <w:p>
            <w:pPr>
              <w:snapToGrid w:val="0"/>
              <w:jc w:val="center"/>
              <w:rPr>
                <w:rFonts w:ascii="Calibri" w:hAnsi="Calibri" w:eastAsia="方正黑体_GBK"/>
                <w:bCs/>
                <w:sz w:val="24"/>
              </w:rPr>
            </w:pPr>
            <w:r>
              <w:rPr>
                <w:rFonts w:ascii="Calibri" w:hAnsi="Calibri" w:eastAsia="方正黑体_GBK"/>
                <w:bCs/>
                <w:sz w:val="24"/>
              </w:rPr>
              <w:t>类别</w:t>
            </w:r>
          </w:p>
        </w:tc>
        <w:tc>
          <w:tcPr>
            <w:tcW w:w="1283" w:type="dxa"/>
            <w:vAlign w:val="center"/>
          </w:tcPr>
          <w:p>
            <w:pPr>
              <w:snapToGrid w:val="0"/>
              <w:jc w:val="center"/>
              <w:rPr>
                <w:rFonts w:ascii="Calibri" w:hAnsi="Calibri" w:eastAsia="方正黑体_GBK"/>
                <w:bCs/>
                <w:sz w:val="24"/>
              </w:rPr>
            </w:pPr>
            <w:r>
              <w:rPr>
                <w:rFonts w:ascii="Calibri" w:hAnsi="Calibri" w:eastAsia="方正黑体_GBK"/>
                <w:bCs/>
                <w:sz w:val="24"/>
              </w:rPr>
              <w:t>执行减排</w:t>
            </w:r>
          </w:p>
          <w:p>
            <w:pPr>
              <w:snapToGrid w:val="0"/>
              <w:jc w:val="center"/>
              <w:rPr>
                <w:rFonts w:ascii="Calibri" w:hAnsi="Calibri" w:eastAsia="方正黑体_GBK"/>
                <w:bCs/>
                <w:sz w:val="24"/>
              </w:rPr>
            </w:pPr>
            <w:r>
              <w:rPr>
                <w:rFonts w:ascii="Calibri" w:hAnsi="Calibri" w:eastAsia="方正黑体_GBK"/>
                <w:bCs/>
                <w:sz w:val="24"/>
              </w:rPr>
              <w:t>措施情况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tcPr>
          <w:p>
            <w:pPr>
              <w:spacing w:line="594" w:lineRule="exact"/>
              <w:jc w:val="center"/>
              <w:rPr>
                <w:rFonts w:ascii="Calibri" w:hAnsi="Calibri" w:eastAsia="方正仿宋_GBK"/>
                <w:bCs/>
                <w:sz w:val="24"/>
              </w:rPr>
            </w:pPr>
            <w:r>
              <w:rPr>
                <w:rFonts w:ascii="Calibri" w:hAnsi="Calibri" w:eastAsia="方正仿宋_GBK"/>
                <w:bCs/>
                <w:sz w:val="24"/>
              </w:rPr>
              <w:t>1</w:t>
            </w:r>
          </w:p>
        </w:tc>
        <w:tc>
          <w:tcPr>
            <w:tcW w:w="2025" w:type="dxa"/>
            <w:vAlign w:val="center"/>
          </w:tcPr>
          <w:p>
            <w:pPr>
              <w:spacing w:line="300" w:lineRule="exact"/>
              <w:jc w:val="left"/>
              <w:rPr>
                <w:rFonts w:ascii="Calibri" w:hAnsi="Calibri" w:eastAsia="方正仿宋_GBK"/>
                <w:bCs/>
                <w:sz w:val="24"/>
              </w:rPr>
            </w:pPr>
            <w:r>
              <w:rPr>
                <w:rFonts w:ascii="Calibri" w:hAnsi="Calibri" w:eastAsia="方正仿宋_GBK"/>
                <w:bCs/>
                <w:sz w:val="24"/>
              </w:rPr>
              <w:t>中国石化集团重庆川维化工有限公司</w:t>
            </w:r>
          </w:p>
        </w:tc>
        <w:tc>
          <w:tcPr>
            <w:tcW w:w="964" w:type="dxa"/>
            <w:vAlign w:val="center"/>
          </w:tcPr>
          <w:p>
            <w:pPr>
              <w:spacing w:line="300" w:lineRule="exact"/>
              <w:jc w:val="center"/>
              <w:rPr>
                <w:rFonts w:ascii="Calibri" w:hAnsi="Calibri" w:eastAsia="方正仿宋_GBK"/>
                <w:bCs/>
                <w:sz w:val="24"/>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bCs/>
                <w:sz w:val="24"/>
              </w:rPr>
            </w:pPr>
            <w:r>
              <w:rPr>
                <w:rFonts w:ascii="Calibri" w:hAnsi="Calibri" w:eastAsia="方正仿宋_GBK"/>
                <w:bCs/>
                <w:sz w:val="24"/>
              </w:rPr>
              <w:t>晏家街道维江路35、36号</w:t>
            </w:r>
          </w:p>
        </w:tc>
        <w:tc>
          <w:tcPr>
            <w:tcW w:w="1282" w:type="dxa"/>
            <w:vAlign w:val="center"/>
          </w:tcPr>
          <w:p>
            <w:pPr>
              <w:spacing w:line="300" w:lineRule="exact"/>
              <w:jc w:val="center"/>
              <w:rPr>
                <w:rFonts w:ascii="Calibri" w:hAnsi="Calibri" w:eastAsia="方正仿宋_GBK"/>
                <w:bCs/>
                <w:sz w:val="24"/>
              </w:rPr>
            </w:pPr>
            <w:r>
              <w:rPr>
                <w:rFonts w:ascii="Calibri" w:hAnsi="Calibri" w:eastAsia="方正仿宋_GBK"/>
                <w:bCs/>
                <w:sz w:val="24"/>
              </w:rPr>
              <w:t>炼油与石油化工</w:t>
            </w:r>
          </w:p>
        </w:tc>
        <w:tc>
          <w:tcPr>
            <w:tcW w:w="897" w:type="dxa"/>
            <w:vAlign w:val="center"/>
          </w:tcPr>
          <w:p>
            <w:pPr>
              <w:spacing w:line="300" w:lineRule="exact"/>
              <w:jc w:val="center"/>
              <w:rPr>
                <w:rFonts w:ascii="Calibri" w:hAnsi="Calibri" w:eastAsia="方正仿宋_GBK"/>
                <w:bCs/>
                <w:sz w:val="24"/>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bCs/>
                <w:sz w:val="24"/>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tcPr>
          <w:p>
            <w:pPr>
              <w:spacing w:line="594" w:lineRule="exact"/>
              <w:jc w:val="center"/>
              <w:rPr>
                <w:rFonts w:ascii="Calibri" w:hAnsi="Calibri" w:eastAsia="方正仿宋_GBK"/>
                <w:bCs/>
                <w:sz w:val="24"/>
              </w:rPr>
            </w:pPr>
            <w:r>
              <w:rPr>
                <w:rFonts w:ascii="Calibri" w:hAnsi="Calibri" w:eastAsia="方正仿宋_GBK"/>
                <w:bCs/>
                <w:sz w:val="24"/>
              </w:rPr>
              <w:t>2</w:t>
            </w:r>
          </w:p>
        </w:tc>
        <w:tc>
          <w:tcPr>
            <w:tcW w:w="2025" w:type="dxa"/>
            <w:vAlign w:val="center"/>
          </w:tcPr>
          <w:p>
            <w:pPr>
              <w:spacing w:line="300" w:lineRule="exact"/>
              <w:jc w:val="left"/>
              <w:rPr>
                <w:rFonts w:ascii="Calibri" w:hAnsi="Calibri" w:eastAsia="方正仿宋_GBK"/>
                <w:bCs/>
                <w:sz w:val="24"/>
              </w:rPr>
            </w:pPr>
            <w:r>
              <w:rPr>
                <w:rFonts w:ascii="Calibri" w:hAnsi="Calibri" w:eastAsia="方正仿宋_GBK"/>
                <w:bCs/>
                <w:sz w:val="24"/>
              </w:rPr>
              <w:t>重庆钢铁股份有限公司</w:t>
            </w:r>
          </w:p>
        </w:tc>
        <w:tc>
          <w:tcPr>
            <w:tcW w:w="964" w:type="dxa"/>
            <w:vAlign w:val="center"/>
          </w:tcPr>
          <w:p>
            <w:pPr>
              <w:spacing w:line="300" w:lineRule="exact"/>
              <w:jc w:val="center"/>
              <w:rPr>
                <w:rFonts w:ascii="Calibri" w:hAnsi="Calibri" w:eastAsia="方正仿宋_GBK"/>
                <w:bCs/>
                <w:sz w:val="24"/>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bCs/>
                <w:sz w:val="24"/>
              </w:rPr>
            </w:pPr>
            <w:r>
              <w:rPr>
                <w:rFonts w:ascii="Calibri" w:hAnsi="Calibri" w:eastAsia="方正仿宋_GBK"/>
                <w:bCs/>
                <w:sz w:val="24"/>
              </w:rPr>
              <w:t>江南街道钢城大道1号</w:t>
            </w:r>
          </w:p>
        </w:tc>
        <w:tc>
          <w:tcPr>
            <w:tcW w:w="1282" w:type="dxa"/>
            <w:vAlign w:val="center"/>
          </w:tcPr>
          <w:p>
            <w:pPr>
              <w:spacing w:line="300" w:lineRule="exact"/>
              <w:jc w:val="center"/>
              <w:rPr>
                <w:rFonts w:ascii="Calibri" w:hAnsi="Calibri" w:eastAsia="方正仿宋_GBK"/>
                <w:bCs/>
                <w:sz w:val="24"/>
              </w:rPr>
            </w:pPr>
            <w:r>
              <w:rPr>
                <w:rFonts w:ascii="Calibri" w:hAnsi="Calibri" w:eastAsia="方正仿宋_GBK"/>
                <w:bCs/>
                <w:sz w:val="24"/>
              </w:rPr>
              <w:t>长流程联合钢铁</w:t>
            </w:r>
          </w:p>
        </w:tc>
        <w:tc>
          <w:tcPr>
            <w:tcW w:w="897" w:type="dxa"/>
            <w:vAlign w:val="center"/>
          </w:tcPr>
          <w:p>
            <w:pPr>
              <w:spacing w:line="300" w:lineRule="exact"/>
              <w:jc w:val="center"/>
              <w:rPr>
                <w:rFonts w:ascii="Calibri" w:hAnsi="Calibri" w:eastAsia="方正仿宋_GBK"/>
                <w:bCs/>
                <w:sz w:val="24"/>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bCs/>
                <w:sz w:val="24"/>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9" w:type="dxa"/>
          </w:tcPr>
          <w:p>
            <w:pPr>
              <w:spacing w:line="594" w:lineRule="exact"/>
              <w:jc w:val="center"/>
              <w:rPr>
                <w:rFonts w:ascii="Calibri" w:hAnsi="Calibri" w:eastAsia="方正仿宋_GBK"/>
                <w:bCs/>
                <w:sz w:val="24"/>
              </w:rPr>
            </w:pPr>
            <w:r>
              <w:rPr>
                <w:rFonts w:ascii="Calibri" w:hAnsi="Calibri" w:eastAsia="方正仿宋_GBK"/>
                <w:bCs/>
                <w:sz w:val="24"/>
              </w:rPr>
              <w:t>3</w:t>
            </w:r>
          </w:p>
        </w:tc>
        <w:tc>
          <w:tcPr>
            <w:tcW w:w="2025" w:type="dxa"/>
            <w:vAlign w:val="center"/>
          </w:tcPr>
          <w:p>
            <w:pPr>
              <w:spacing w:line="300" w:lineRule="exact"/>
              <w:jc w:val="left"/>
              <w:rPr>
                <w:rFonts w:ascii="Calibri" w:hAnsi="Calibri" w:eastAsia="方正仿宋_GBK"/>
                <w:bCs/>
                <w:sz w:val="24"/>
              </w:rPr>
            </w:pPr>
            <w:r>
              <w:rPr>
                <w:rFonts w:ascii="Calibri" w:hAnsi="Calibri" w:eastAsia="方正仿宋_GBK"/>
                <w:bCs/>
                <w:sz w:val="24"/>
              </w:rPr>
              <w:t>重庆钢铁集团建设工程有限公司</w:t>
            </w:r>
          </w:p>
        </w:tc>
        <w:tc>
          <w:tcPr>
            <w:tcW w:w="964" w:type="dxa"/>
            <w:vAlign w:val="center"/>
          </w:tcPr>
          <w:p>
            <w:pPr>
              <w:spacing w:line="300" w:lineRule="exact"/>
              <w:jc w:val="center"/>
              <w:rPr>
                <w:rFonts w:ascii="Calibri" w:hAnsi="Calibri" w:eastAsia="方正仿宋_GBK"/>
                <w:bCs/>
                <w:sz w:val="24"/>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bCs/>
                <w:sz w:val="24"/>
              </w:rPr>
            </w:pPr>
            <w:r>
              <w:rPr>
                <w:rFonts w:ascii="Calibri" w:hAnsi="Calibri" w:eastAsia="方正仿宋_GBK"/>
                <w:bCs/>
                <w:sz w:val="24"/>
              </w:rPr>
              <w:t>长寿经济技术开发区重钢集团A2区</w:t>
            </w:r>
          </w:p>
        </w:tc>
        <w:tc>
          <w:tcPr>
            <w:tcW w:w="1282" w:type="dxa"/>
            <w:vAlign w:val="center"/>
          </w:tcPr>
          <w:p>
            <w:pPr>
              <w:spacing w:line="300" w:lineRule="exact"/>
              <w:jc w:val="center"/>
              <w:rPr>
                <w:rFonts w:ascii="Calibri" w:hAnsi="Calibri" w:eastAsia="方正仿宋_GBK"/>
                <w:bCs/>
                <w:sz w:val="24"/>
              </w:rPr>
            </w:pPr>
            <w:r>
              <w:rPr>
                <w:rFonts w:ascii="Calibri" w:hAnsi="Calibri" w:eastAsia="方正仿宋_GBK"/>
                <w:bCs/>
                <w:sz w:val="24"/>
              </w:rPr>
              <w:t>工业涂装</w:t>
            </w:r>
          </w:p>
        </w:tc>
        <w:tc>
          <w:tcPr>
            <w:tcW w:w="897" w:type="dxa"/>
            <w:vAlign w:val="center"/>
          </w:tcPr>
          <w:p>
            <w:pPr>
              <w:spacing w:line="300" w:lineRule="exact"/>
              <w:jc w:val="center"/>
              <w:rPr>
                <w:rFonts w:ascii="Calibri" w:hAnsi="Calibri" w:eastAsia="方正仿宋_GBK"/>
                <w:bCs/>
                <w:sz w:val="24"/>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bCs/>
                <w:sz w:val="24"/>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tcPr>
          <w:p>
            <w:pPr>
              <w:spacing w:line="594" w:lineRule="exact"/>
              <w:jc w:val="center"/>
              <w:rPr>
                <w:rFonts w:ascii="Calibri" w:hAnsi="Calibri" w:eastAsia="方正仿宋_GBK"/>
                <w:bCs/>
                <w:sz w:val="24"/>
              </w:rPr>
            </w:pPr>
            <w:r>
              <w:rPr>
                <w:rFonts w:ascii="Calibri" w:hAnsi="Calibri" w:eastAsia="方正仿宋_GBK"/>
                <w:bCs/>
                <w:sz w:val="24"/>
              </w:rPr>
              <w:t>4</w:t>
            </w:r>
          </w:p>
        </w:tc>
        <w:tc>
          <w:tcPr>
            <w:tcW w:w="2025" w:type="dxa"/>
            <w:vAlign w:val="center"/>
          </w:tcPr>
          <w:p>
            <w:pPr>
              <w:spacing w:line="300" w:lineRule="exact"/>
              <w:jc w:val="left"/>
              <w:rPr>
                <w:rFonts w:ascii="Calibri" w:hAnsi="Calibri" w:eastAsia="方正仿宋_GBK"/>
                <w:bCs/>
                <w:sz w:val="24"/>
              </w:rPr>
            </w:pPr>
            <w:r>
              <w:rPr>
                <w:rFonts w:ascii="Calibri" w:hAnsi="Calibri" w:eastAsia="方正仿宋_GBK"/>
                <w:bCs/>
                <w:sz w:val="24"/>
              </w:rPr>
              <w:t>正新橡胶（重庆）有限公司</w:t>
            </w:r>
          </w:p>
        </w:tc>
        <w:tc>
          <w:tcPr>
            <w:tcW w:w="964" w:type="dxa"/>
            <w:vAlign w:val="center"/>
          </w:tcPr>
          <w:p>
            <w:pPr>
              <w:spacing w:line="300" w:lineRule="exact"/>
              <w:jc w:val="center"/>
              <w:rPr>
                <w:rFonts w:ascii="Calibri" w:hAnsi="Calibri" w:eastAsia="方正仿宋_GBK"/>
                <w:bCs/>
                <w:sz w:val="24"/>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bCs/>
                <w:sz w:val="24"/>
              </w:rPr>
            </w:pPr>
            <w:r>
              <w:rPr>
                <w:rFonts w:ascii="Calibri" w:hAnsi="Calibri" w:eastAsia="方正仿宋_GBK"/>
                <w:bCs/>
                <w:sz w:val="24"/>
              </w:rPr>
              <w:t>长寿经济技术开发区齐心大道27号</w:t>
            </w:r>
          </w:p>
        </w:tc>
        <w:tc>
          <w:tcPr>
            <w:tcW w:w="1282" w:type="dxa"/>
            <w:vAlign w:val="center"/>
          </w:tcPr>
          <w:p>
            <w:pPr>
              <w:spacing w:line="300" w:lineRule="exact"/>
              <w:jc w:val="center"/>
              <w:rPr>
                <w:rFonts w:ascii="Calibri" w:hAnsi="Calibri" w:eastAsia="方正仿宋_GBK"/>
                <w:bCs/>
                <w:sz w:val="24"/>
              </w:rPr>
            </w:pPr>
            <w:r>
              <w:rPr>
                <w:rFonts w:ascii="Calibri" w:hAnsi="Calibri" w:eastAsia="方正仿宋_GBK"/>
                <w:bCs/>
                <w:sz w:val="24"/>
              </w:rPr>
              <w:t>橡胶制品制造</w:t>
            </w:r>
          </w:p>
        </w:tc>
        <w:tc>
          <w:tcPr>
            <w:tcW w:w="897" w:type="dxa"/>
            <w:vAlign w:val="center"/>
          </w:tcPr>
          <w:p>
            <w:pPr>
              <w:spacing w:line="300" w:lineRule="exact"/>
              <w:jc w:val="center"/>
              <w:rPr>
                <w:rFonts w:ascii="Calibri" w:hAnsi="Calibri" w:eastAsia="方正仿宋_GBK"/>
                <w:bCs/>
                <w:sz w:val="24"/>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bCs/>
                <w:sz w:val="24"/>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tcPr>
          <w:p>
            <w:pPr>
              <w:spacing w:line="594" w:lineRule="exact"/>
              <w:jc w:val="center"/>
              <w:rPr>
                <w:rFonts w:ascii="Calibri" w:hAnsi="Calibri" w:eastAsia="方正仿宋_GBK"/>
                <w:bCs/>
                <w:sz w:val="24"/>
              </w:rPr>
            </w:pPr>
            <w:r>
              <w:rPr>
                <w:rFonts w:ascii="Calibri" w:hAnsi="Calibri"/>
                <w:bCs/>
                <w:sz w:val="24"/>
              </w:rPr>
              <w:t>5</w:t>
            </w:r>
          </w:p>
        </w:tc>
        <w:tc>
          <w:tcPr>
            <w:tcW w:w="2025" w:type="dxa"/>
            <w:vAlign w:val="center"/>
          </w:tcPr>
          <w:p>
            <w:pPr>
              <w:spacing w:line="300" w:lineRule="exact"/>
              <w:jc w:val="left"/>
              <w:rPr>
                <w:rFonts w:ascii="Calibri" w:hAnsi="Calibri" w:eastAsia="方正仿宋_GBK"/>
                <w:bCs/>
                <w:sz w:val="24"/>
              </w:rPr>
            </w:pPr>
            <w:r>
              <w:rPr>
                <w:rFonts w:ascii="Calibri" w:hAnsi="Calibri" w:eastAsia="方正仿宋_GBK"/>
                <w:bCs/>
                <w:sz w:val="24"/>
              </w:rPr>
              <w:t>扬子江乙酰化工有限公司</w:t>
            </w:r>
          </w:p>
        </w:tc>
        <w:tc>
          <w:tcPr>
            <w:tcW w:w="964" w:type="dxa"/>
            <w:vAlign w:val="center"/>
          </w:tcPr>
          <w:p>
            <w:pPr>
              <w:spacing w:line="300" w:lineRule="exact"/>
              <w:jc w:val="center"/>
              <w:rPr>
                <w:rFonts w:ascii="Calibri" w:hAnsi="Calibri" w:eastAsia="方正仿宋_GBK"/>
                <w:bCs/>
                <w:sz w:val="24"/>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bCs/>
                <w:sz w:val="24"/>
              </w:rPr>
            </w:pPr>
            <w:r>
              <w:rPr>
                <w:rFonts w:ascii="Calibri" w:hAnsi="Calibri" w:eastAsia="方正仿宋_GBK"/>
                <w:bCs/>
                <w:sz w:val="24"/>
              </w:rPr>
              <w:t>长寿经济技术开发区维江路97号</w:t>
            </w:r>
          </w:p>
        </w:tc>
        <w:tc>
          <w:tcPr>
            <w:tcW w:w="1282" w:type="dxa"/>
            <w:vAlign w:val="center"/>
          </w:tcPr>
          <w:p>
            <w:pPr>
              <w:spacing w:line="300" w:lineRule="exact"/>
              <w:jc w:val="center"/>
              <w:rPr>
                <w:rFonts w:ascii="Calibri" w:hAnsi="Calibri" w:eastAsia="方正仿宋_GBK"/>
                <w:bCs/>
                <w:sz w:val="24"/>
              </w:rPr>
            </w:pPr>
            <w:r>
              <w:rPr>
                <w:rFonts w:ascii="Calibri" w:hAnsi="Calibri" w:eastAsia="方正仿宋_GBK"/>
                <w:bCs/>
                <w:sz w:val="24"/>
              </w:rPr>
              <w:t>炼油与石油化工</w:t>
            </w:r>
          </w:p>
        </w:tc>
        <w:tc>
          <w:tcPr>
            <w:tcW w:w="897" w:type="dxa"/>
            <w:vAlign w:val="center"/>
          </w:tcPr>
          <w:p>
            <w:pPr>
              <w:spacing w:line="300" w:lineRule="exact"/>
              <w:jc w:val="center"/>
              <w:rPr>
                <w:rFonts w:ascii="Calibri" w:hAnsi="Calibri" w:eastAsia="方正仿宋_GBK"/>
                <w:bCs/>
                <w:sz w:val="24"/>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bCs/>
                <w:sz w:val="24"/>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tcPr>
          <w:p>
            <w:pPr>
              <w:spacing w:line="594" w:lineRule="exact"/>
              <w:jc w:val="center"/>
              <w:rPr>
                <w:rFonts w:ascii="Calibri" w:hAnsi="Calibri" w:eastAsia="方正仿宋_GBK"/>
                <w:bCs/>
                <w:sz w:val="24"/>
              </w:rPr>
            </w:pPr>
            <w:r>
              <w:rPr>
                <w:rFonts w:ascii="Calibri" w:hAnsi="Calibri"/>
                <w:bCs/>
                <w:sz w:val="24"/>
              </w:rPr>
              <w:t>6</w:t>
            </w:r>
          </w:p>
        </w:tc>
        <w:tc>
          <w:tcPr>
            <w:tcW w:w="2025" w:type="dxa"/>
            <w:vAlign w:val="center"/>
          </w:tcPr>
          <w:p>
            <w:pPr>
              <w:spacing w:line="300" w:lineRule="exact"/>
              <w:jc w:val="left"/>
              <w:rPr>
                <w:rFonts w:ascii="Calibri" w:hAnsi="Calibri" w:eastAsia="方正仿宋_GBK"/>
                <w:bCs/>
                <w:sz w:val="24"/>
              </w:rPr>
            </w:pPr>
            <w:r>
              <w:rPr>
                <w:rFonts w:ascii="Calibri" w:hAnsi="Calibri" w:eastAsia="方正仿宋_GBK"/>
                <w:bCs/>
                <w:sz w:val="24"/>
              </w:rPr>
              <w:t>重庆小康动力有限公司</w:t>
            </w:r>
          </w:p>
        </w:tc>
        <w:tc>
          <w:tcPr>
            <w:tcW w:w="964" w:type="dxa"/>
            <w:vAlign w:val="center"/>
          </w:tcPr>
          <w:p>
            <w:pPr>
              <w:spacing w:line="300" w:lineRule="exact"/>
              <w:jc w:val="center"/>
              <w:rPr>
                <w:rFonts w:ascii="Calibri" w:hAnsi="Calibri" w:eastAsia="方正仿宋_GBK"/>
                <w:bCs/>
                <w:sz w:val="24"/>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bCs/>
                <w:sz w:val="24"/>
              </w:rPr>
            </w:pPr>
            <w:r>
              <w:rPr>
                <w:rFonts w:ascii="Calibri" w:hAnsi="Calibri" w:eastAsia="方正仿宋_GBK"/>
                <w:bCs/>
                <w:sz w:val="24"/>
              </w:rPr>
              <w:t>长寿经济技术开发区菩提东路1号</w:t>
            </w:r>
          </w:p>
        </w:tc>
        <w:tc>
          <w:tcPr>
            <w:tcW w:w="1282" w:type="dxa"/>
            <w:vAlign w:val="center"/>
          </w:tcPr>
          <w:p>
            <w:pPr>
              <w:spacing w:line="300" w:lineRule="exact"/>
              <w:jc w:val="center"/>
              <w:rPr>
                <w:rFonts w:ascii="Calibri" w:hAnsi="Calibri" w:eastAsia="方正仿宋_GBK"/>
                <w:bCs/>
                <w:sz w:val="24"/>
              </w:rPr>
            </w:pPr>
            <w:r>
              <w:rPr>
                <w:rFonts w:ascii="Calibri" w:hAnsi="Calibri" w:eastAsia="方正仿宋_GBK"/>
                <w:bCs/>
                <w:sz w:val="24"/>
              </w:rPr>
              <w:t>工业涂装</w:t>
            </w:r>
          </w:p>
        </w:tc>
        <w:tc>
          <w:tcPr>
            <w:tcW w:w="897" w:type="dxa"/>
            <w:vAlign w:val="center"/>
          </w:tcPr>
          <w:p>
            <w:pPr>
              <w:spacing w:line="300" w:lineRule="exact"/>
              <w:jc w:val="center"/>
              <w:rPr>
                <w:rFonts w:ascii="Calibri" w:hAnsi="Calibri" w:eastAsia="方正仿宋_GBK"/>
                <w:bCs/>
                <w:sz w:val="24"/>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bCs/>
                <w:sz w:val="24"/>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9" w:type="dxa"/>
          </w:tcPr>
          <w:p>
            <w:pPr>
              <w:spacing w:line="594" w:lineRule="exact"/>
              <w:jc w:val="center"/>
              <w:rPr>
                <w:rFonts w:ascii="Calibri" w:hAnsi="Calibri" w:eastAsia="方正仿宋_GBK"/>
                <w:bCs/>
                <w:sz w:val="24"/>
              </w:rPr>
            </w:pPr>
            <w:r>
              <w:rPr>
                <w:rFonts w:ascii="Calibri" w:hAnsi="Calibri"/>
                <w:bCs/>
                <w:sz w:val="24"/>
              </w:rPr>
              <w:t>7</w:t>
            </w:r>
          </w:p>
        </w:tc>
        <w:tc>
          <w:tcPr>
            <w:tcW w:w="2025" w:type="dxa"/>
            <w:vAlign w:val="center"/>
          </w:tcPr>
          <w:p>
            <w:pPr>
              <w:spacing w:line="300" w:lineRule="exact"/>
              <w:jc w:val="left"/>
              <w:rPr>
                <w:rFonts w:ascii="Calibri" w:hAnsi="Calibri" w:eastAsia="方正仿宋_GBK"/>
                <w:bCs/>
                <w:sz w:val="24"/>
              </w:rPr>
            </w:pPr>
            <w:r>
              <w:rPr>
                <w:rFonts w:ascii="Calibri" w:hAnsi="Calibri" w:eastAsia="方正仿宋_GBK"/>
                <w:bCs/>
                <w:sz w:val="24"/>
              </w:rPr>
              <w:t>重庆博腾制药科技股份有限公司</w:t>
            </w:r>
          </w:p>
        </w:tc>
        <w:tc>
          <w:tcPr>
            <w:tcW w:w="964" w:type="dxa"/>
            <w:vAlign w:val="center"/>
          </w:tcPr>
          <w:p>
            <w:pPr>
              <w:spacing w:line="300" w:lineRule="exact"/>
              <w:jc w:val="center"/>
              <w:rPr>
                <w:rFonts w:ascii="Calibri" w:hAnsi="Calibri" w:eastAsia="方正仿宋_GBK"/>
                <w:bCs/>
                <w:sz w:val="24"/>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bCs/>
                <w:sz w:val="24"/>
              </w:rPr>
            </w:pPr>
            <w:r>
              <w:rPr>
                <w:rFonts w:ascii="Calibri" w:hAnsi="Calibri" w:eastAsia="方正仿宋_GBK"/>
                <w:bCs/>
                <w:sz w:val="24"/>
              </w:rPr>
              <w:t>长寿经济技术开发区化南路1号</w:t>
            </w:r>
          </w:p>
        </w:tc>
        <w:tc>
          <w:tcPr>
            <w:tcW w:w="1282" w:type="dxa"/>
            <w:vAlign w:val="center"/>
          </w:tcPr>
          <w:p>
            <w:pPr>
              <w:spacing w:line="300" w:lineRule="exact"/>
              <w:jc w:val="center"/>
              <w:rPr>
                <w:rFonts w:ascii="Calibri" w:hAnsi="Calibri" w:eastAsia="方正仿宋_GBK"/>
                <w:bCs/>
                <w:sz w:val="24"/>
              </w:rPr>
            </w:pPr>
            <w:r>
              <w:rPr>
                <w:rFonts w:ascii="Calibri" w:hAnsi="Calibri" w:eastAsia="方正仿宋_GBK"/>
                <w:bCs/>
                <w:sz w:val="24"/>
              </w:rPr>
              <w:t>制药</w:t>
            </w:r>
          </w:p>
        </w:tc>
        <w:tc>
          <w:tcPr>
            <w:tcW w:w="897" w:type="dxa"/>
            <w:vAlign w:val="center"/>
          </w:tcPr>
          <w:p>
            <w:pPr>
              <w:spacing w:line="300" w:lineRule="exact"/>
              <w:jc w:val="center"/>
              <w:rPr>
                <w:rFonts w:ascii="Calibri" w:hAnsi="Calibri" w:eastAsia="方正仿宋_GBK"/>
                <w:bCs/>
                <w:sz w:val="24"/>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bCs/>
                <w:sz w:val="24"/>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tcPr>
          <w:p>
            <w:pPr>
              <w:spacing w:line="594" w:lineRule="exact"/>
              <w:jc w:val="center"/>
              <w:rPr>
                <w:rFonts w:ascii="Calibri" w:hAnsi="Calibri" w:eastAsia="方正仿宋_GBK"/>
                <w:bCs/>
                <w:sz w:val="24"/>
              </w:rPr>
            </w:pPr>
            <w:r>
              <w:rPr>
                <w:rFonts w:ascii="Calibri" w:hAnsi="Calibri"/>
                <w:bCs/>
                <w:sz w:val="24"/>
              </w:rPr>
              <w:t>8</w:t>
            </w:r>
          </w:p>
        </w:tc>
        <w:tc>
          <w:tcPr>
            <w:tcW w:w="2025" w:type="dxa"/>
            <w:vAlign w:val="center"/>
          </w:tcPr>
          <w:p>
            <w:pPr>
              <w:spacing w:line="300" w:lineRule="exact"/>
              <w:jc w:val="left"/>
              <w:rPr>
                <w:rFonts w:ascii="Calibri" w:hAnsi="Calibri" w:eastAsia="方正仿宋_GBK"/>
                <w:bCs/>
                <w:sz w:val="24"/>
              </w:rPr>
            </w:pPr>
            <w:r>
              <w:rPr>
                <w:rFonts w:ascii="Calibri" w:hAnsi="Calibri" w:eastAsia="方正仿宋_GBK"/>
                <w:bCs/>
                <w:sz w:val="24"/>
              </w:rPr>
              <w:t>重庆钢铁集团矿业有限公司大宝坡石灰石矿</w:t>
            </w:r>
          </w:p>
        </w:tc>
        <w:tc>
          <w:tcPr>
            <w:tcW w:w="964" w:type="dxa"/>
            <w:vAlign w:val="center"/>
          </w:tcPr>
          <w:p>
            <w:pPr>
              <w:spacing w:line="300" w:lineRule="exact"/>
              <w:jc w:val="center"/>
              <w:rPr>
                <w:rFonts w:ascii="Calibri" w:hAnsi="Calibri" w:eastAsia="方正仿宋_GBK"/>
                <w:bCs/>
                <w:sz w:val="24"/>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bCs/>
                <w:sz w:val="24"/>
              </w:rPr>
            </w:pPr>
            <w:r>
              <w:rPr>
                <w:rFonts w:ascii="Calibri" w:hAnsi="Calibri" w:eastAsia="方正仿宋_GBK"/>
                <w:bCs/>
                <w:sz w:val="24"/>
              </w:rPr>
              <w:t>长寿经济技术开发区重钢厂区</w:t>
            </w:r>
          </w:p>
        </w:tc>
        <w:tc>
          <w:tcPr>
            <w:tcW w:w="1282" w:type="dxa"/>
            <w:vAlign w:val="center"/>
          </w:tcPr>
          <w:p>
            <w:pPr>
              <w:spacing w:line="300" w:lineRule="exact"/>
              <w:jc w:val="center"/>
              <w:rPr>
                <w:rFonts w:ascii="Calibri" w:hAnsi="Calibri" w:eastAsia="方正仿宋_GBK"/>
                <w:bCs/>
                <w:sz w:val="24"/>
              </w:rPr>
            </w:pPr>
            <w:r>
              <w:rPr>
                <w:rFonts w:ascii="Calibri" w:hAnsi="Calibri" w:eastAsia="方正仿宋_GBK"/>
                <w:bCs/>
                <w:sz w:val="24"/>
              </w:rPr>
              <w:t>石灰窑</w:t>
            </w:r>
          </w:p>
        </w:tc>
        <w:tc>
          <w:tcPr>
            <w:tcW w:w="897" w:type="dxa"/>
            <w:vAlign w:val="center"/>
          </w:tcPr>
          <w:p>
            <w:pPr>
              <w:spacing w:line="300" w:lineRule="exact"/>
              <w:jc w:val="center"/>
              <w:rPr>
                <w:rFonts w:ascii="Calibri" w:hAnsi="Calibri" w:eastAsia="方正仿宋_GBK"/>
                <w:bCs/>
                <w:sz w:val="24"/>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bCs/>
                <w:sz w:val="24"/>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tcPr>
          <w:p>
            <w:pPr>
              <w:spacing w:line="594" w:lineRule="exact"/>
              <w:jc w:val="center"/>
              <w:rPr>
                <w:rFonts w:ascii="Calibri" w:hAnsi="Calibri" w:eastAsia="方正仿宋_GBK"/>
                <w:bCs/>
                <w:sz w:val="24"/>
              </w:rPr>
            </w:pPr>
            <w:r>
              <w:rPr>
                <w:rFonts w:ascii="Calibri" w:hAnsi="Calibri"/>
                <w:bCs/>
                <w:sz w:val="24"/>
              </w:rPr>
              <w:t>9</w:t>
            </w:r>
          </w:p>
        </w:tc>
        <w:tc>
          <w:tcPr>
            <w:tcW w:w="2025" w:type="dxa"/>
            <w:vAlign w:val="center"/>
          </w:tcPr>
          <w:p>
            <w:pPr>
              <w:spacing w:line="300" w:lineRule="exact"/>
              <w:jc w:val="left"/>
              <w:rPr>
                <w:rFonts w:ascii="Calibri" w:hAnsi="Calibri" w:eastAsia="方正仿宋_GBK"/>
                <w:bCs/>
                <w:sz w:val="24"/>
              </w:rPr>
            </w:pPr>
            <w:r>
              <w:rPr>
                <w:rFonts w:ascii="Calibri" w:hAnsi="Calibri" w:eastAsia="方正仿宋_GBK"/>
                <w:bCs/>
                <w:sz w:val="24"/>
              </w:rPr>
              <w:t>重庆钢铁集团产业有限公司</w:t>
            </w:r>
          </w:p>
        </w:tc>
        <w:tc>
          <w:tcPr>
            <w:tcW w:w="964" w:type="dxa"/>
            <w:vAlign w:val="center"/>
          </w:tcPr>
          <w:p>
            <w:pPr>
              <w:spacing w:line="300" w:lineRule="exact"/>
              <w:jc w:val="center"/>
              <w:rPr>
                <w:rFonts w:ascii="Calibri" w:hAnsi="Calibri" w:eastAsia="方正仿宋_GBK"/>
                <w:bCs/>
                <w:sz w:val="24"/>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bCs/>
                <w:sz w:val="24"/>
              </w:rPr>
            </w:pPr>
            <w:r>
              <w:rPr>
                <w:rFonts w:ascii="Calibri" w:hAnsi="Calibri"/>
                <w:bCs/>
                <w:sz w:val="24"/>
              </w:rPr>
              <w:t>江南街镇</w:t>
            </w:r>
            <w:r>
              <w:rPr>
                <w:rFonts w:ascii="Calibri" w:hAnsi="Calibri" w:eastAsia="方正仿宋_GBK"/>
                <w:bCs/>
                <w:sz w:val="24"/>
              </w:rPr>
              <w:t>重钢大道1号</w:t>
            </w:r>
          </w:p>
        </w:tc>
        <w:tc>
          <w:tcPr>
            <w:tcW w:w="1282" w:type="dxa"/>
            <w:vAlign w:val="center"/>
          </w:tcPr>
          <w:p>
            <w:pPr>
              <w:spacing w:line="300" w:lineRule="exact"/>
              <w:jc w:val="center"/>
              <w:rPr>
                <w:rFonts w:ascii="Calibri" w:hAnsi="Calibri" w:eastAsia="方正仿宋_GBK"/>
                <w:bCs/>
                <w:sz w:val="24"/>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bCs/>
                <w:sz w:val="24"/>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bCs/>
                <w:sz w:val="24"/>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tcPr>
          <w:p>
            <w:pPr>
              <w:spacing w:line="594" w:lineRule="exact"/>
              <w:jc w:val="center"/>
              <w:rPr>
                <w:rFonts w:ascii="Calibri" w:hAnsi="Calibri" w:eastAsia="方正仿宋_GBK"/>
                <w:bCs/>
                <w:sz w:val="24"/>
              </w:rPr>
            </w:pPr>
            <w:r>
              <w:rPr>
                <w:rFonts w:ascii="Calibri" w:hAnsi="Calibri"/>
                <w:bCs/>
                <w:sz w:val="24"/>
              </w:rPr>
              <w:t>10</w:t>
            </w:r>
          </w:p>
        </w:tc>
        <w:tc>
          <w:tcPr>
            <w:tcW w:w="2025" w:type="dxa"/>
            <w:vAlign w:val="center"/>
          </w:tcPr>
          <w:p>
            <w:pPr>
              <w:spacing w:line="300" w:lineRule="exact"/>
              <w:jc w:val="left"/>
              <w:rPr>
                <w:rFonts w:ascii="Calibri" w:hAnsi="Calibri" w:eastAsia="方正仿宋_GBK"/>
                <w:bCs/>
                <w:sz w:val="24"/>
              </w:rPr>
            </w:pPr>
            <w:r>
              <w:rPr>
                <w:rFonts w:ascii="Calibri" w:hAnsi="Calibri" w:eastAsia="方正仿宋_GBK"/>
                <w:bCs/>
                <w:sz w:val="24"/>
              </w:rPr>
              <w:t>重庆惠申橡塑有限公司</w:t>
            </w:r>
          </w:p>
        </w:tc>
        <w:tc>
          <w:tcPr>
            <w:tcW w:w="964" w:type="dxa"/>
            <w:vAlign w:val="center"/>
          </w:tcPr>
          <w:p>
            <w:pPr>
              <w:spacing w:line="300" w:lineRule="exact"/>
              <w:jc w:val="center"/>
              <w:rPr>
                <w:rFonts w:ascii="Calibri" w:hAnsi="Calibri" w:eastAsia="方正仿宋_GBK"/>
                <w:bCs/>
                <w:sz w:val="24"/>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bCs/>
                <w:sz w:val="24"/>
              </w:rPr>
            </w:pPr>
            <w:r>
              <w:rPr>
                <w:rFonts w:ascii="Calibri" w:hAnsi="Calibri"/>
                <w:bCs/>
                <w:sz w:val="24"/>
              </w:rPr>
              <w:t>晏家街道</w:t>
            </w:r>
            <w:r>
              <w:rPr>
                <w:rFonts w:ascii="Calibri" w:hAnsi="Calibri" w:eastAsia="方正仿宋_GBK"/>
                <w:bCs/>
                <w:sz w:val="24"/>
              </w:rPr>
              <w:t>齐心东支路6号2-1</w:t>
            </w:r>
          </w:p>
        </w:tc>
        <w:tc>
          <w:tcPr>
            <w:tcW w:w="1282" w:type="dxa"/>
            <w:vAlign w:val="center"/>
          </w:tcPr>
          <w:p>
            <w:pPr>
              <w:spacing w:line="300" w:lineRule="exact"/>
              <w:jc w:val="center"/>
              <w:rPr>
                <w:rFonts w:ascii="Calibri" w:hAnsi="Calibri" w:eastAsia="方正仿宋_GBK"/>
                <w:bCs/>
                <w:sz w:val="24"/>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bCs/>
                <w:sz w:val="24"/>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bCs/>
                <w:sz w:val="24"/>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9" w:type="dxa"/>
          </w:tcPr>
          <w:p>
            <w:pPr>
              <w:spacing w:line="594" w:lineRule="exact"/>
              <w:jc w:val="center"/>
              <w:rPr>
                <w:rFonts w:ascii="Calibri" w:hAnsi="Calibri" w:eastAsia="方正仿宋_GBK"/>
                <w:bCs/>
                <w:sz w:val="24"/>
              </w:rPr>
            </w:pPr>
            <w:r>
              <w:rPr>
                <w:rFonts w:ascii="Calibri" w:hAnsi="Calibri"/>
                <w:bCs/>
                <w:sz w:val="24"/>
              </w:rPr>
              <w:t>11</w:t>
            </w:r>
          </w:p>
        </w:tc>
        <w:tc>
          <w:tcPr>
            <w:tcW w:w="2025" w:type="dxa"/>
            <w:vAlign w:val="center"/>
          </w:tcPr>
          <w:p>
            <w:pPr>
              <w:spacing w:line="300" w:lineRule="exact"/>
              <w:jc w:val="left"/>
              <w:rPr>
                <w:rFonts w:ascii="Calibri" w:hAnsi="Calibri" w:eastAsia="方正仿宋_GBK"/>
                <w:bCs/>
                <w:sz w:val="24"/>
              </w:rPr>
            </w:pPr>
            <w:r>
              <w:rPr>
                <w:rFonts w:ascii="Calibri" w:hAnsi="Calibri" w:eastAsia="方正仿宋_GBK"/>
                <w:bCs/>
                <w:sz w:val="24"/>
              </w:rPr>
              <w:t>重庆通力高速公路养护工程有限公司</w:t>
            </w:r>
          </w:p>
        </w:tc>
        <w:tc>
          <w:tcPr>
            <w:tcW w:w="964" w:type="dxa"/>
            <w:vAlign w:val="center"/>
          </w:tcPr>
          <w:p>
            <w:pPr>
              <w:spacing w:line="300" w:lineRule="exact"/>
              <w:jc w:val="center"/>
              <w:rPr>
                <w:rFonts w:ascii="Calibri" w:hAnsi="Calibri" w:eastAsia="方正仿宋_GBK"/>
                <w:bCs/>
                <w:sz w:val="24"/>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bCs/>
                <w:sz w:val="24"/>
              </w:rPr>
            </w:pPr>
            <w:r>
              <w:rPr>
                <w:rFonts w:ascii="Calibri" w:hAnsi="Calibri" w:eastAsia="方正仿宋_GBK"/>
                <w:bCs/>
                <w:sz w:val="24"/>
              </w:rPr>
              <w:t>云台镇小岩村委会云台收费站内00号</w:t>
            </w:r>
          </w:p>
        </w:tc>
        <w:tc>
          <w:tcPr>
            <w:tcW w:w="1282" w:type="dxa"/>
            <w:vAlign w:val="center"/>
          </w:tcPr>
          <w:p>
            <w:pPr>
              <w:spacing w:line="300" w:lineRule="exact"/>
              <w:jc w:val="center"/>
              <w:rPr>
                <w:rFonts w:ascii="Calibri" w:hAnsi="Calibri" w:eastAsia="方正仿宋_GBK"/>
                <w:bCs/>
                <w:sz w:val="24"/>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bCs/>
                <w:sz w:val="24"/>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bCs/>
                <w:sz w:val="24"/>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tcPr>
          <w:p>
            <w:pPr>
              <w:spacing w:line="594" w:lineRule="exact"/>
              <w:jc w:val="center"/>
              <w:rPr>
                <w:rFonts w:ascii="Calibri" w:hAnsi="Calibri" w:eastAsia="方正仿宋_GBK"/>
                <w:bCs/>
                <w:sz w:val="24"/>
              </w:rPr>
            </w:pPr>
            <w:r>
              <w:rPr>
                <w:rFonts w:ascii="Calibri" w:hAnsi="Calibri"/>
                <w:bCs/>
                <w:sz w:val="24"/>
              </w:rPr>
              <w:t>12</w:t>
            </w:r>
          </w:p>
        </w:tc>
        <w:tc>
          <w:tcPr>
            <w:tcW w:w="2025" w:type="dxa"/>
            <w:vAlign w:val="center"/>
          </w:tcPr>
          <w:p>
            <w:pPr>
              <w:spacing w:line="300" w:lineRule="exact"/>
              <w:jc w:val="left"/>
              <w:rPr>
                <w:rFonts w:ascii="Calibri" w:hAnsi="Calibri" w:eastAsia="方正仿宋_GBK"/>
                <w:bCs/>
                <w:sz w:val="24"/>
              </w:rPr>
            </w:pPr>
            <w:r>
              <w:rPr>
                <w:rFonts w:ascii="Calibri" w:hAnsi="Calibri" w:eastAsia="方正仿宋_GBK"/>
                <w:bCs/>
                <w:sz w:val="24"/>
              </w:rPr>
              <w:t>重庆瀚氏模塑科技有限公司</w:t>
            </w:r>
          </w:p>
        </w:tc>
        <w:tc>
          <w:tcPr>
            <w:tcW w:w="964" w:type="dxa"/>
            <w:vAlign w:val="center"/>
          </w:tcPr>
          <w:p>
            <w:pPr>
              <w:spacing w:line="300" w:lineRule="exact"/>
              <w:jc w:val="center"/>
              <w:rPr>
                <w:rFonts w:ascii="Calibri" w:hAnsi="Calibri" w:eastAsia="方正仿宋_GBK"/>
                <w:bCs/>
                <w:sz w:val="24"/>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bCs/>
                <w:sz w:val="24"/>
              </w:rPr>
            </w:pPr>
            <w:r>
              <w:rPr>
                <w:rFonts w:ascii="Calibri" w:hAnsi="Calibri"/>
                <w:bCs/>
                <w:sz w:val="24"/>
              </w:rPr>
              <w:t>晏家街道</w:t>
            </w:r>
            <w:r>
              <w:rPr>
                <w:rFonts w:ascii="Calibri" w:hAnsi="Calibri" w:eastAsia="方正仿宋_GBK"/>
                <w:bCs/>
                <w:sz w:val="24"/>
              </w:rPr>
              <w:t>齐心大道22号5幢</w:t>
            </w:r>
          </w:p>
        </w:tc>
        <w:tc>
          <w:tcPr>
            <w:tcW w:w="1282" w:type="dxa"/>
            <w:vAlign w:val="center"/>
          </w:tcPr>
          <w:p>
            <w:pPr>
              <w:spacing w:line="300" w:lineRule="exact"/>
              <w:jc w:val="center"/>
              <w:rPr>
                <w:rFonts w:ascii="Calibri" w:hAnsi="Calibri" w:eastAsia="方正仿宋_GBK"/>
                <w:bCs/>
                <w:sz w:val="24"/>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bCs/>
                <w:sz w:val="24"/>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bCs/>
                <w:sz w:val="24"/>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tcPr>
          <w:p>
            <w:pPr>
              <w:spacing w:line="594" w:lineRule="exact"/>
              <w:jc w:val="center"/>
              <w:rPr>
                <w:rFonts w:ascii="Calibri" w:hAnsi="Calibri" w:eastAsia="方正仿宋_GBK"/>
                <w:bCs/>
                <w:sz w:val="24"/>
              </w:rPr>
            </w:pPr>
            <w:r>
              <w:rPr>
                <w:rFonts w:ascii="Calibri" w:hAnsi="Calibri"/>
                <w:bCs/>
                <w:sz w:val="24"/>
              </w:rPr>
              <w:t>13</w:t>
            </w:r>
          </w:p>
        </w:tc>
        <w:tc>
          <w:tcPr>
            <w:tcW w:w="2025" w:type="dxa"/>
            <w:vAlign w:val="center"/>
          </w:tcPr>
          <w:p>
            <w:pPr>
              <w:spacing w:line="300" w:lineRule="exact"/>
              <w:jc w:val="left"/>
              <w:rPr>
                <w:rFonts w:ascii="Calibri" w:hAnsi="Calibri" w:eastAsia="方正仿宋_GBK"/>
                <w:bCs/>
                <w:sz w:val="24"/>
              </w:rPr>
            </w:pPr>
            <w:r>
              <w:rPr>
                <w:rFonts w:ascii="Calibri" w:hAnsi="Calibri" w:eastAsia="方正仿宋_GBK"/>
                <w:bCs/>
                <w:sz w:val="24"/>
              </w:rPr>
              <w:t>重庆伍舟建材有限公司</w:t>
            </w:r>
          </w:p>
        </w:tc>
        <w:tc>
          <w:tcPr>
            <w:tcW w:w="964" w:type="dxa"/>
            <w:vAlign w:val="center"/>
          </w:tcPr>
          <w:p>
            <w:pPr>
              <w:spacing w:line="300" w:lineRule="exact"/>
              <w:jc w:val="center"/>
              <w:rPr>
                <w:rFonts w:ascii="Calibri" w:hAnsi="Calibri" w:eastAsia="方正仿宋_GBK"/>
                <w:bCs/>
                <w:sz w:val="24"/>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bCs/>
                <w:sz w:val="24"/>
              </w:rPr>
            </w:pPr>
            <w:r>
              <w:rPr>
                <w:rFonts w:ascii="Calibri" w:hAnsi="Calibri" w:eastAsia="方正仿宋_GBK"/>
                <w:bCs/>
                <w:sz w:val="24"/>
              </w:rPr>
              <w:t>渡舟街道果园村委会5组</w:t>
            </w:r>
          </w:p>
        </w:tc>
        <w:tc>
          <w:tcPr>
            <w:tcW w:w="1282" w:type="dxa"/>
            <w:vAlign w:val="center"/>
          </w:tcPr>
          <w:p>
            <w:pPr>
              <w:spacing w:line="300" w:lineRule="exact"/>
              <w:jc w:val="center"/>
              <w:rPr>
                <w:rFonts w:ascii="Calibri" w:hAnsi="Calibri" w:eastAsia="方正仿宋_GBK"/>
                <w:bCs/>
                <w:sz w:val="24"/>
              </w:rPr>
            </w:pPr>
            <w:r>
              <w:rPr>
                <w:rFonts w:ascii="Calibri" w:hAnsi="Calibri" w:eastAsia="方正仿宋_GBK"/>
                <w:bCs/>
                <w:sz w:val="24"/>
              </w:rPr>
              <w:t>砖瓦窑</w:t>
            </w:r>
          </w:p>
        </w:tc>
        <w:tc>
          <w:tcPr>
            <w:tcW w:w="897" w:type="dxa"/>
            <w:vAlign w:val="center"/>
          </w:tcPr>
          <w:p>
            <w:pPr>
              <w:spacing w:line="300" w:lineRule="exact"/>
              <w:jc w:val="center"/>
              <w:rPr>
                <w:rFonts w:ascii="Calibri" w:hAnsi="Calibri" w:eastAsia="方正仿宋_GBK"/>
                <w:bCs/>
                <w:sz w:val="24"/>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bCs/>
                <w:sz w:val="24"/>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tcPr>
          <w:p>
            <w:pPr>
              <w:spacing w:line="594" w:lineRule="exact"/>
              <w:jc w:val="center"/>
              <w:rPr>
                <w:rFonts w:ascii="Calibri" w:hAnsi="Calibri" w:eastAsia="方正仿宋_GBK"/>
                <w:bCs/>
                <w:sz w:val="24"/>
              </w:rPr>
            </w:pPr>
            <w:r>
              <w:rPr>
                <w:rFonts w:ascii="Calibri" w:hAnsi="Calibri"/>
                <w:bCs/>
                <w:sz w:val="24"/>
              </w:rPr>
              <w:t>14</w:t>
            </w:r>
          </w:p>
        </w:tc>
        <w:tc>
          <w:tcPr>
            <w:tcW w:w="2025" w:type="dxa"/>
            <w:vAlign w:val="center"/>
          </w:tcPr>
          <w:p>
            <w:pPr>
              <w:spacing w:line="300" w:lineRule="exact"/>
              <w:jc w:val="left"/>
              <w:rPr>
                <w:rFonts w:ascii="Calibri" w:hAnsi="Calibri" w:eastAsia="方正仿宋_GBK"/>
                <w:bCs/>
                <w:sz w:val="24"/>
              </w:rPr>
            </w:pPr>
            <w:r>
              <w:rPr>
                <w:rFonts w:ascii="Calibri" w:hAnsi="Calibri" w:eastAsia="方正仿宋_GBK"/>
                <w:bCs/>
                <w:sz w:val="24"/>
              </w:rPr>
              <w:t>重庆旺祥建材有限公司</w:t>
            </w:r>
          </w:p>
        </w:tc>
        <w:tc>
          <w:tcPr>
            <w:tcW w:w="964" w:type="dxa"/>
            <w:vAlign w:val="center"/>
          </w:tcPr>
          <w:p>
            <w:pPr>
              <w:spacing w:line="300" w:lineRule="exact"/>
              <w:jc w:val="center"/>
              <w:rPr>
                <w:rFonts w:ascii="Calibri" w:hAnsi="Calibri" w:eastAsia="方正仿宋_GBK"/>
                <w:bCs/>
                <w:sz w:val="24"/>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bCs/>
                <w:sz w:val="24"/>
              </w:rPr>
            </w:pPr>
            <w:r>
              <w:rPr>
                <w:rFonts w:ascii="Calibri" w:hAnsi="Calibri" w:eastAsia="方正仿宋_GBK"/>
                <w:bCs/>
                <w:sz w:val="24"/>
              </w:rPr>
              <w:t>云集镇大同村委会大同村4组</w:t>
            </w:r>
          </w:p>
        </w:tc>
        <w:tc>
          <w:tcPr>
            <w:tcW w:w="1282" w:type="dxa"/>
            <w:vAlign w:val="center"/>
          </w:tcPr>
          <w:p>
            <w:pPr>
              <w:spacing w:line="300" w:lineRule="exact"/>
              <w:jc w:val="center"/>
              <w:rPr>
                <w:rFonts w:ascii="Calibri" w:hAnsi="Calibri" w:eastAsia="方正仿宋_GBK"/>
                <w:bCs/>
                <w:sz w:val="24"/>
              </w:rPr>
            </w:pPr>
            <w:r>
              <w:rPr>
                <w:rFonts w:ascii="Calibri" w:hAnsi="Calibri" w:eastAsia="方正仿宋_GBK"/>
                <w:bCs/>
                <w:sz w:val="24"/>
              </w:rPr>
              <w:t>砖瓦窑</w:t>
            </w:r>
          </w:p>
        </w:tc>
        <w:tc>
          <w:tcPr>
            <w:tcW w:w="897" w:type="dxa"/>
            <w:vAlign w:val="center"/>
          </w:tcPr>
          <w:p>
            <w:pPr>
              <w:spacing w:line="300" w:lineRule="exact"/>
              <w:jc w:val="center"/>
              <w:rPr>
                <w:rFonts w:ascii="Calibri" w:hAnsi="Calibri" w:eastAsia="方正仿宋_GBK"/>
                <w:bCs/>
                <w:sz w:val="24"/>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bCs/>
                <w:sz w:val="24"/>
              </w:rPr>
            </w:pPr>
            <w:r>
              <w:rPr>
                <w:rFonts w:ascii="Calibri" w:hAnsi="Calibri" w:eastAsia="方正仿宋_GBK"/>
                <w:bCs/>
                <w:sz w:val="24"/>
              </w:rPr>
              <w:t>非绩效引领性企业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9" w:type="dxa"/>
          </w:tcPr>
          <w:p>
            <w:pPr>
              <w:spacing w:line="594" w:lineRule="exact"/>
              <w:jc w:val="center"/>
              <w:rPr>
                <w:rFonts w:ascii="Calibri" w:hAnsi="Calibri" w:eastAsia="方正仿宋_GBK"/>
                <w:bCs/>
                <w:sz w:val="24"/>
              </w:rPr>
            </w:pPr>
            <w:r>
              <w:rPr>
                <w:rFonts w:ascii="Calibri" w:hAnsi="Calibri"/>
                <w:bCs/>
                <w:sz w:val="24"/>
              </w:rPr>
              <w:t>15</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重庆瑞泊莱制药有限公司（原安格龙翔）</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重庆市长寿经济技术开发区化南路5号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制药</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tcPr>
          <w:p>
            <w:pPr>
              <w:spacing w:line="594" w:lineRule="exact"/>
              <w:jc w:val="center"/>
              <w:rPr>
                <w:rFonts w:ascii="Calibri" w:hAnsi="Calibri" w:eastAsia="方正仿宋_GBK"/>
                <w:bCs/>
                <w:sz w:val="24"/>
              </w:rPr>
            </w:pPr>
            <w:r>
              <w:rPr>
                <w:rFonts w:ascii="Calibri" w:hAnsi="Calibri"/>
                <w:bCs/>
                <w:sz w:val="24"/>
              </w:rPr>
              <w:t>16</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重庆旭松家具有限公司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新市街道寿乡大道10号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家具制造</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tcPr>
          <w:p>
            <w:pPr>
              <w:spacing w:line="594" w:lineRule="exact"/>
              <w:jc w:val="center"/>
              <w:rPr>
                <w:rFonts w:ascii="Calibri" w:hAnsi="Calibri" w:eastAsia="方正仿宋_GBK"/>
                <w:bCs/>
                <w:sz w:val="24"/>
              </w:rPr>
            </w:pPr>
            <w:r>
              <w:rPr>
                <w:rFonts w:ascii="Calibri" w:hAnsi="Calibri"/>
                <w:bCs/>
                <w:sz w:val="24"/>
              </w:rPr>
              <w:t>17</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重庆钰宏再生资源有限公司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长寿经济技术开发区钢辅一路88号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tcPr>
          <w:p>
            <w:pPr>
              <w:spacing w:line="594" w:lineRule="exact"/>
              <w:jc w:val="center"/>
              <w:rPr>
                <w:rFonts w:ascii="Calibri" w:hAnsi="Calibri" w:eastAsia="方正仿宋_GBK"/>
                <w:bCs/>
                <w:sz w:val="24"/>
              </w:rPr>
            </w:pPr>
            <w:r>
              <w:rPr>
                <w:rFonts w:ascii="Calibri" w:hAnsi="Calibri"/>
                <w:bCs/>
                <w:sz w:val="24"/>
              </w:rPr>
              <w:t>18</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植恩生物技术股份有限公司鼎联分公司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重庆市长寿经开区化南路22号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制药</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9" w:type="dxa"/>
          </w:tcPr>
          <w:p>
            <w:pPr>
              <w:spacing w:line="594" w:lineRule="exact"/>
              <w:jc w:val="center"/>
              <w:rPr>
                <w:rFonts w:ascii="Calibri" w:hAnsi="Calibri" w:eastAsia="方正仿宋_GBK"/>
                <w:bCs/>
                <w:sz w:val="24"/>
              </w:rPr>
            </w:pPr>
            <w:r>
              <w:rPr>
                <w:rFonts w:ascii="Calibri" w:hAnsi="Calibri"/>
                <w:bCs/>
                <w:sz w:val="24"/>
              </w:rPr>
              <w:t>19</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重庆市长寿区树登建材有限责任公司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但渡镇高村6组</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砖瓦窑</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tcPr>
          <w:p>
            <w:pPr>
              <w:spacing w:line="594" w:lineRule="exact"/>
              <w:jc w:val="center"/>
              <w:rPr>
                <w:rFonts w:ascii="Calibri" w:hAnsi="Calibri" w:eastAsia="方正仿宋_GBK"/>
                <w:bCs/>
                <w:sz w:val="24"/>
              </w:rPr>
            </w:pPr>
            <w:r>
              <w:rPr>
                <w:rFonts w:ascii="Calibri" w:hAnsi="Calibri"/>
                <w:bCs/>
                <w:sz w:val="24"/>
              </w:rPr>
              <w:t>20</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杰富意金属容器（重庆）有限公司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长寿经济技术开发区化北二路4号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工业涂装</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tcPr>
          <w:p>
            <w:pPr>
              <w:spacing w:line="594" w:lineRule="exact"/>
              <w:jc w:val="center"/>
              <w:rPr>
                <w:rFonts w:ascii="Calibri" w:hAnsi="Calibri" w:eastAsia="方正仿宋_GBK"/>
                <w:bCs/>
                <w:sz w:val="24"/>
              </w:rPr>
            </w:pPr>
            <w:r>
              <w:rPr>
                <w:rFonts w:ascii="Calibri" w:hAnsi="Calibri"/>
                <w:bCs/>
                <w:sz w:val="24"/>
              </w:rPr>
              <w:t>21</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重庆奥鑫涂料有限公司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海棠镇土桥村委会工业园内00号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涂料制造</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tcPr>
          <w:p>
            <w:pPr>
              <w:spacing w:line="594" w:lineRule="exact"/>
              <w:jc w:val="center"/>
              <w:rPr>
                <w:rFonts w:ascii="Calibri" w:hAnsi="Calibri" w:eastAsia="方正仿宋_GBK"/>
                <w:bCs/>
                <w:sz w:val="24"/>
              </w:rPr>
            </w:pPr>
            <w:r>
              <w:rPr>
                <w:rFonts w:ascii="Calibri" w:hAnsi="Calibri"/>
                <w:bCs/>
                <w:sz w:val="24"/>
              </w:rPr>
              <w:t>22</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重庆市长寿区顺渝家具加工厂</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凤城街道轻化路社区居委会轻化路25号（雄进汽修里面）</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家具制造</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9" w:type="dxa"/>
          </w:tcPr>
          <w:p>
            <w:pPr>
              <w:spacing w:line="594" w:lineRule="exact"/>
              <w:jc w:val="center"/>
              <w:rPr>
                <w:rFonts w:ascii="Calibri" w:hAnsi="Calibri" w:eastAsia="方正仿宋_GBK"/>
                <w:bCs/>
                <w:sz w:val="24"/>
              </w:rPr>
            </w:pPr>
            <w:r>
              <w:rPr>
                <w:rFonts w:ascii="Calibri" w:hAnsi="Calibri"/>
                <w:bCs/>
                <w:sz w:val="24"/>
              </w:rPr>
              <w:t>23</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重庆林佳建材有限公司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新市街道河石桥社区居委会工业园区寿乡大道2号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家具制造</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tcPr>
          <w:p>
            <w:pPr>
              <w:spacing w:line="594" w:lineRule="exact"/>
              <w:jc w:val="center"/>
              <w:rPr>
                <w:rFonts w:ascii="Calibri" w:hAnsi="Calibri" w:eastAsia="方正仿宋_GBK"/>
                <w:bCs/>
                <w:sz w:val="24"/>
              </w:rPr>
            </w:pPr>
            <w:r>
              <w:rPr>
                <w:rFonts w:ascii="Calibri" w:hAnsi="Calibri"/>
                <w:bCs/>
                <w:sz w:val="24"/>
              </w:rPr>
              <w:t>24</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重庆市长寿区青观建材有限公司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邻封镇青观村委会青观村6组121-1</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砖瓦窑</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tcPr>
          <w:p>
            <w:pPr>
              <w:spacing w:line="594" w:lineRule="exact"/>
              <w:jc w:val="center"/>
              <w:rPr>
                <w:rFonts w:ascii="Calibri" w:hAnsi="Calibri" w:eastAsia="方正仿宋_GBK"/>
                <w:bCs/>
                <w:sz w:val="24"/>
              </w:rPr>
            </w:pPr>
            <w:r>
              <w:rPr>
                <w:rFonts w:ascii="Calibri" w:hAnsi="Calibri"/>
                <w:bCs/>
                <w:sz w:val="24"/>
              </w:rPr>
              <w:t>25</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重庆市长寿区银霞建材有限公司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邻封镇焦家村委会1组</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砖瓦窑</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tcPr>
          <w:p>
            <w:pPr>
              <w:spacing w:line="594" w:lineRule="exact"/>
              <w:jc w:val="center"/>
              <w:rPr>
                <w:rFonts w:ascii="Calibri" w:hAnsi="Calibri" w:eastAsia="方正仿宋_GBK"/>
                <w:bCs/>
                <w:sz w:val="24"/>
              </w:rPr>
            </w:pPr>
            <w:r>
              <w:rPr>
                <w:rFonts w:ascii="Calibri" w:hAnsi="Calibri"/>
                <w:bCs/>
                <w:sz w:val="24"/>
              </w:rPr>
              <w:t>26</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重庆农药化工（集团）有限公司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长寿经济技术开发区齐心东路10号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农药制造</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9" w:type="dxa"/>
            <w:vAlign w:val="center"/>
          </w:tcPr>
          <w:p>
            <w:pPr>
              <w:spacing w:line="594" w:lineRule="exact"/>
              <w:jc w:val="center"/>
              <w:rPr>
                <w:rFonts w:ascii="Calibri" w:hAnsi="Calibri" w:eastAsia="方正仿宋_GBK"/>
                <w:bCs/>
                <w:sz w:val="24"/>
              </w:rPr>
            </w:pPr>
            <w:r>
              <w:rPr>
                <w:rFonts w:ascii="Calibri" w:hAnsi="Calibri"/>
                <w:bCs/>
                <w:sz w:val="24"/>
              </w:rPr>
              <w:t>27</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重庆长风化学工业有限公司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长寿经开区</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炼油与石油化工</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eastAsia="方正仿宋_GBK"/>
                <w:bCs/>
                <w:sz w:val="24"/>
              </w:rPr>
            </w:pPr>
            <w:r>
              <w:rPr>
                <w:rFonts w:ascii="Calibri" w:hAnsi="Calibri"/>
                <w:bCs/>
                <w:sz w:val="24"/>
              </w:rPr>
              <w:t>28</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重庆炀琨焰冶金辅料有限公司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长寿经济技术开发区重钢厂区内</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石灰窑</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eastAsia="方正仿宋_GBK"/>
                <w:bCs/>
                <w:sz w:val="24"/>
              </w:rPr>
            </w:pPr>
            <w:r>
              <w:rPr>
                <w:rFonts w:ascii="Calibri" w:hAnsi="Calibri"/>
                <w:bCs/>
                <w:sz w:val="24"/>
              </w:rPr>
              <w:t>29</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重庆煜琨珑冶金材料有限公司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钢辅一路7号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耐火材料</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非绩效引领性企业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eastAsia="方正仿宋_GBK"/>
                <w:bCs/>
                <w:sz w:val="24"/>
              </w:rPr>
            </w:pPr>
            <w:r>
              <w:rPr>
                <w:rFonts w:ascii="Calibri" w:hAnsi="Calibri"/>
                <w:bCs/>
                <w:sz w:val="24"/>
              </w:rPr>
              <w:t>30</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重庆望变电气（集团）股份有限公司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化北路9号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短流程钢铁</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9" w:type="dxa"/>
            <w:vAlign w:val="center"/>
          </w:tcPr>
          <w:p>
            <w:pPr>
              <w:spacing w:line="594" w:lineRule="exact"/>
              <w:jc w:val="center"/>
              <w:rPr>
                <w:rFonts w:ascii="Calibri" w:hAnsi="Calibri" w:eastAsia="方正仿宋_GBK"/>
                <w:bCs/>
                <w:sz w:val="24"/>
              </w:rPr>
            </w:pPr>
            <w:r>
              <w:rPr>
                <w:rFonts w:ascii="Calibri" w:hAnsi="Calibri"/>
                <w:bCs/>
                <w:sz w:val="24"/>
              </w:rPr>
              <w:t>31</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重庆鸿塑祥润建材有限公司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bCs/>
                <w:sz w:val="24"/>
              </w:rPr>
              <w:t>晏家街道</w:t>
            </w:r>
            <w:r>
              <w:rPr>
                <w:rFonts w:ascii="Calibri" w:hAnsi="Calibri" w:eastAsia="方正仿宋_GBK"/>
                <w:bCs/>
                <w:sz w:val="24"/>
              </w:rPr>
              <w:t>河泉北1路</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eastAsia="方正仿宋_GBK"/>
                <w:bCs/>
                <w:sz w:val="24"/>
              </w:rPr>
            </w:pPr>
            <w:r>
              <w:rPr>
                <w:rFonts w:ascii="Calibri" w:hAnsi="Calibri"/>
                <w:bCs/>
                <w:sz w:val="24"/>
              </w:rPr>
              <w:t>32</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重庆渝达六星动力机械有限公司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bCs/>
                <w:sz w:val="24"/>
              </w:rPr>
              <w:t>晏家街道</w:t>
            </w:r>
            <w:r>
              <w:rPr>
                <w:rFonts w:ascii="Calibri" w:hAnsi="Calibri" w:eastAsia="方正仿宋_GBK"/>
                <w:bCs/>
                <w:sz w:val="24"/>
              </w:rPr>
              <w:t>齐心大道15号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铸造</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eastAsia="方正仿宋_GBK"/>
                <w:bCs/>
                <w:sz w:val="24"/>
              </w:rPr>
            </w:pPr>
            <w:r>
              <w:rPr>
                <w:rFonts w:ascii="Calibri" w:hAnsi="Calibri"/>
                <w:bCs/>
                <w:sz w:val="24"/>
              </w:rPr>
              <w:t>33</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重庆郭马建材有限公司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但渡镇未名村委会未名村6组</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砖瓦窑</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eastAsia="方正仿宋_GBK"/>
                <w:bCs/>
                <w:sz w:val="24"/>
              </w:rPr>
            </w:pPr>
            <w:r>
              <w:rPr>
                <w:rFonts w:ascii="Calibri" w:hAnsi="Calibri"/>
                <w:bCs/>
                <w:sz w:val="24"/>
              </w:rPr>
              <w:t>34</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重庆皖渝纸制品有限公司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新市街道河石井村委会新光二路7号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包装印刷</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9" w:type="dxa"/>
            <w:vAlign w:val="center"/>
          </w:tcPr>
          <w:p>
            <w:pPr>
              <w:spacing w:line="594" w:lineRule="exact"/>
              <w:jc w:val="center"/>
              <w:rPr>
                <w:rFonts w:ascii="Calibri" w:hAnsi="Calibri" w:eastAsia="方正仿宋_GBK"/>
                <w:bCs/>
                <w:sz w:val="24"/>
              </w:rPr>
            </w:pPr>
            <w:r>
              <w:rPr>
                <w:rFonts w:ascii="Calibri" w:hAnsi="Calibri"/>
                <w:bCs/>
                <w:sz w:val="24"/>
              </w:rPr>
              <w:t>35</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重庆涛鹏建材有限公司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菩提街道东新村11组</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砖瓦窑</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eastAsia="方正仿宋_GBK"/>
                <w:bCs/>
                <w:sz w:val="24"/>
              </w:rPr>
            </w:pPr>
            <w:r>
              <w:rPr>
                <w:rFonts w:ascii="Calibri" w:hAnsi="Calibri"/>
                <w:bCs/>
                <w:sz w:val="24"/>
              </w:rPr>
              <w:t>36</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重庆市长寿区宏杨机砖厂</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晏家街道沙溪村委会河水榜组</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砖瓦窑</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eastAsia="方正仿宋_GBK"/>
                <w:bCs/>
                <w:sz w:val="24"/>
              </w:rPr>
            </w:pPr>
            <w:r>
              <w:rPr>
                <w:rFonts w:ascii="Calibri" w:hAnsi="Calibri"/>
                <w:bCs/>
                <w:sz w:val="24"/>
              </w:rPr>
              <w:t>37</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重庆市恒业塑料包装制品有限公司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晏家街道中心路社区居委会中心路69号附2号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eastAsia="方正仿宋_GBK"/>
                <w:bCs/>
                <w:sz w:val="24"/>
              </w:rPr>
            </w:pPr>
            <w:r>
              <w:rPr>
                <w:rFonts w:ascii="Calibri" w:hAnsi="Calibri"/>
                <w:bCs/>
                <w:sz w:val="24"/>
              </w:rPr>
              <w:t>38</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LG化学（重庆）工程塑料有限公司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长寿经济技术开发区化南路24号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9" w:type="dxa"/>
            <w:vAlign w:val="center"/>
          </w:tcPr>
          <w:p>
            <w:pPr>
              <w:spacing w:line="594" w:lineRule="exact"/>
              <w:jc w:val="center"/>
              <w:rPr>
                <w:rFonts w:ascii="Calibri" w:hAnsi="Calibri" w:eastAsia="方正仿宋_GBK"/>
                <w:bCs/>
                <w:sz w:val="24"/>
              </w:rPr>
            </w:pPr>
            <w:r>
              <w:rPr>
                <w:rFonts w:ascii="Calibri" w:hAnsi="Calibri"/>
                <w:bCs/>
                <w:sz w:val="24"/>
              </w:rPr>
              <w:t>39</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重庆渝商再生资源开发有限公司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bCs/>
                <w:sz w:val="24"/>
              </w:rPr>
              <w:t>晏家街道</w:t>
            </w:r>
            <w:r>
              <w:rPr>
                <w:rFonts w:ascii="Calibri" w:hAnsi="Calibri" w:eastAsia="方正仿宋_GBK"/>
                <w:bCs/>
                <w:sz w:val="24"/>
              </w:rPr>
              <w:t>齐心西路16号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eastAsia="方正仿宋_GBK"/>
                <w:bCs/>
                <w:sz w:val="24"/>
              </w:rPr>
            </w:pPr>
            <w:r>
              <w:rPr>
                <w:rFonts w:ascii="Calibri" w:hAnsi="Calibri"/>
                <w:bCs/>
                <w:sz w:val="24"/>
              </w:rPr>
              <w:t>40</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重庆九腾环保工程有限公司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凤城街道李家坪原川染厂内</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eastAsia="方正仿宋_GBK"/>
                <w:bCs/>
                <w:sz w:val="24"/>
              </w:rPr>
            </w:pPr>
            <w:r>
              <w:rPr>
                <w:rFonts w:ascii="Calibri" w:hAnsi="Calibri"/>
                <w:bCs/>
                <w:sz w:val="24"/>
              </w:rPr>
              <w:t>41</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和信海纳川（重庆）汽车部件有限公司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bCs/>
                <w:sz w:val="24"/>
              </w:rPr>
              <w:t>晏家街道</w:t>
            </w:r>
            <w:r>
              <w:rPr>
                <w:rFonts w:ascii="Calibri" w:hAnsi="Calibri" w:eastAsia="方正仿宋_GBK"/>
                <w:bCs/>
                <w:sz w:val="24"/>
              </w:rPr>
              <w:t>明桃一路484号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工业涂装</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eastAsia="方正仿宋_GBK"/>
                <w:bCs/>
                <w:sz w:val="24"/>
              </w:rPr>
            </w:pPr>
            <w:r>
              <w:rPr>
                <w:rFonts w:ascii="Calibri" w:hAnsi="Calibri"/>
                <w:bCs/>
                <w:sz w:val="24"/>
              </w:rPr>
              <w:t>42</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重庆启蓝新材料有限公司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长寿经济技术开发区齐心东支路6号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9" w:type="dxa"/>
            <w:vAlign w:val="center"/>
          </w:tcPr>
          <w:p>
            <w:pPr>
              <w:spacing w:line="594" w:lineRule="exact"/>
              <w:jc w:val="center"/>
              <w:rPr>
                <w:rFonts w:ascii="Calibri" w:hAnsi="Calibri" w:eastAsia="方正仿宋_GBK"/>
                <w:bCs/>
                <w:sz w:val="24"/>
              </w:rPr>
            </w:pPr>
            <w:r>
              <w:rPr>
                <w:rFonts w:ascii="Calibri" w:hAnsi="Calibri"/>
                <w:bCs/>
                <w:sz w:val="24"/>
              </w:rPr>
              <w:t>43</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重庆缘得科技有限公司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bCs/>
                <w:sz w:val="24"/>
              </w:rPr>
              <w:t>晏家街道</w:t>
            </w:r>
            <w:r>
              <w:rPr>
                <w:rFonts w:ascii="Calibri" w:hAnsi="Calibri" w:eastAsia="方正仿宋_GBK"/>
                <w:bCs/>
                <w:sz w:val="24"/>
              </w:rPr>
              <w:t>河泉北一路8号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eastAsia="方正仿宋_GBK"/>
                <w:bCs/>
                <w:sz w:val="24"/>
              </w:rPr>
            </w:pPr>
            <w:r>
              <w:rPr>
                <w:rFonts w:ascii="Calibri" w:hAnsi="Calibri"/>
                <w:bCs/>
                <w:sz w:val="24"/>
              </w:rPr>
              <w:t>44</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重庆莱美隆宇药业有限公司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长寿经开区化南四支路5号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制药</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eastAsia="方正仿宋_GBK"/>
                <w:bCs/>
                <w:sz w:val="24"/>
              </w:rPr>
            </w:pPr>
            <w:r>
              <w:rPr>
                <w:rFonts w:ascii="Calibri" w:hAnsi="Calibri"/>
                <w:bCs/>
                <w:sz w:val="24"/>
              </w:rPr>
              <w:t>45</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重庆凯林制药有限公司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长寿化工园区化南1路3号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制药</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eastAsia="方正仿宋_GBK"/>
                <w:bCs/>
                <w:sz w:val="24"/>
              </w:rPr>
            </w:pPr>
            <w:r>
              <w:rPr>
                <w:rFonts w:ascii="Calibri" w:hAnsi="Calibri"/>
                <w:bCs/>
                <w:sz w:val="24"/>
              </w:rPr>
              <w:t>46</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重庆航铸钢结构有限公司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长寿经济技术开发区齐心东路4号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工业涂装</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9" w:type="dxa"/>
            <w:vAlign w:val="center"/>
          </w:tcPr>
          <w:p>
            <w:pPr>
              <w:spacing w:line="594" w:lineRule="exact"/>
              <w:jc w:val="center"/>
              <w:rPr>
                <w:rFonts w:ascii="Calibri" w:hAnsi="Calibri" w:eastAsia="方正仿宋_GBK"/>
                <w:bCs/>
                <w:sz w:val="24"/>
              </w:rPr>
            </w:pPr>
            <w:r>
              <w:rPr>
                <w:rFonts w:ascii="Calibri" w:hAnsi="Calibri"/>
                <w:bCs/>
                <w:sz w:val="24"/>
              </w:rPr>
              <w:t>47</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重庆朗天制药有限公司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晏家化工园区化南1路4号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制药</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eastAsia="方正仿宋_GBK"/>
                <w:bCs/>
                <w:sz w:val="24"/>
              </w:rPr>
            </w:pPr>
            <w:r>
              <w:rPr>
                <w:rFonts w:ascii="Calibri" w:hAnsi="Calibri"/>
                <w:bCs/>
                <w:sz w:val="24"/>
              </w:rPr>
              <w:t>48</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重庆市佐能化工有限公司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长寿经济技术开发区环北路3号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炼油与石油化工</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eastAsia="方正仿宋_GBK"/>
                <w:bCs/>
                <w:sz w:val="24"/>
              </w:rPr>
            </w:pPr>
            <w:r>
              <w:rPr>
                <w:rFonts w:ascii="Calibri" w:hAnsi="Calibri"/>
                <w:bCs/>
                <w:sz w:val="24"/>
              </w:rPr>
              <w:t>49</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重庆市盛百利防水建材有限公司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海棠镇土桥村委会海园路2号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防水建筑材料制造</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eastAsia="方正仿宋_GBK"/>
                <w:bCs/>
                <w:sz w:val="24"/>
              </w:rPr>
            </w:pPr>
            <w:r>
              <w:rPr>
                <w:rFonts w:ascii="Calibri" w:hAnsi="Calibri"/>
                <w:bCs/>
                <w:sz w:val="24"/>
              </w:rPr>
              <w:t>50</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中橡（重庆）炭黑有限公司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长寿经济技术开发区齐心大道50号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炭黑制造</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9" w:type="dxa"/>
            <w:vAlign w:val="center"/>
          </w:tcPr>
          <w:p>
            <w:pPr>
              <w:spacing w:line="594" w:lineRule="exact"/>
              <w:jc w:val="center"/>
              <w:rPr>
                <w:rFonts w:ascii="Calibri" w:hAnsi="Calibri" w:eastAsia="方正仿宋_GBK"/>
                <w:bCs/>
                <w:sz w:val="24"/>
              </w:rPr>
            </w:pPr>
            <w:r>
              <w:rPr>
                <w:rFonts w:ascii="Calibri" w:hAnsi="Calibri"/>
                <w:bCs/>
                <w:sz w:val="24"/>
              </w:rPr>
              <w:t>51</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重庆星河管业发展有限公司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bCs/>
                <w:sz w:val="24"/>
              </w:rPr>
              <w:t>晏家街道</w:t>
            </w:r>
            <w:r>
              <w:rPr>
                <w:rFonts w:ascii="Calibri" w:hAnsi="Calibri" w:eastAsia="方正仿宋_GBK"/>
                <w:bCs/>
                <w:sz w:val="24"/>
              </w:rPr>
              <w:t>齐心西路4号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eastAsia="方正仿宋_GBK"/>
                <w:bCs/>
                <w:sz w:val="24"/>
              </w:rPr>
            </w:pPr>
            <w:r>
              <w:rPr>
                <w:rFonts w:ascii="Calibri" w:hAnsi="Calibri"/>
                <w:bCs/>
                <w:sz w:val="24"/>
              </w:rPr>
              <w:t>52</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重庆洪鼎冶金炉料有限公司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bCs/>
                <w:sz w:val="24"/>
              </w:rPr>
              <w:t>晏家街道</w:t>
            </w:r>
            <w:r>
              <w:rPr>
                <w:rFonts w:ascii="Calibri" w:hAnsi="Calibri" w:eastAsia="方正仿宋_GBK"/>
                <w:bCs/>
                <w:sz w:val="24"/>
              </w:rPr>
              <w:t>江C15-1/01</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eastAsia="方正仿宋_GBK"/>
                <w:bCs/>
                <w:sz w:val="24"/>
              </w:rPr>
            </w:pPr>
            <w:r>
              <w:rPr>
                <w:rFonts w:ascii="Calibri" w:hAnsi="Calibri"/>
                <w:bCs/>
                <w:sz w:val="24"/>
              </w:rPr>
              <w:t>53</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重庆市浩源门业有限公司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新市街道河石井村委会工业组团寿乡大道5号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家具制造</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799" w:type="dxa"/>
            <w:vAlign w:val="center"/>
          </w:tcPr>
          <w:p>
            <w:pPr>
              <w:spacing w:line="594" w:lineRule="exact"/>
              <w:jc w:val="center"/>
              <w:rPr>
                <w:rFonts w:ascii="Calibri" w:hAnsi="Calibri" w:eastAsia="方正仿宋_GBK"/>
                <w:bCs/>
                <w:sz w:val="24"/>
              </w:rPr>
            </w:pPr>
            <w:r>
              <w:rPr>
                <w:rFonts w:ascii="Calibri" w:hAnsi="Calibri"/>
                <w:bCs/>
                <w:sz w:val="24"/>
              </w:rPr>
              <w:t>54</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重庆瑞霆塑胶有限公司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葛兰桥社区居委会健东路19号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eastAsia="方正仿宋_GBK"/>
                <w:bCs/>
                <w:sz w:val="24"/>
              </w:rPr>
            </w:pPr>
            <w:r>
              <w:rPr>
                <w:rFonts w:ascii="Calibri" w:hAnsi="Calibri"/>
                <w:bCs/>
                <w:sz w:val="24"/>
              </w:rPr>
              <w:t>55</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重庆正能实业有限公司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晏家街道齐心社区7组罗家大坡00号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水泥</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非绩效引领性企业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eastAsia="方正仿宋_GBK"/>
                <w:bCs/>
                <w:sz w:val="24"/>
              </w:rPr>
            </w:pPr>
            <w:r>
              <w:rPr>
                <w:rFonts w:ascii="Calibri" w:hAnsi="Calibri"/>
                <w:bCs/>
                <w:sz w:val="24"/>
              </w:rPr>
              <w:t>56</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重庆科顺化工新材料有限公司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长寿经济技术开发区河泉路16号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防水建筑材料制造</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eastAsia="方正仿宋_GBK"/>
                <w:bCs/>
                <w:sz w:val="24"/>
              </w:rPr>
            </w:pPr>
            <w:r>
              <w:rPr>
                <w:rFonts w:ascii="Calibri" w:hAnsi="Calibri"/>
                <w:bCs/>
                <w:sz w:val="24"/>
              </w:rPr>
              <w:t>57</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重庆金华兴门业有限公司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新市街道新市村委会新光一路6号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家具制造</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58</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重庆化医恩力吉投资有限责任公司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长寿经济技术开发区化北三支路热岛中心</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59</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重庆祥道建材有限公司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海棠镇土桥村委会海园南一路5号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60</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重庆穗花食为天粮油有限公司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葛兰镇葛兰桥社区居委会康富路8号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61</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重庆松森门业有限公司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新市街道河石井村委会寿乡大道8号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家具制造</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62</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重庆市长寿区旺磊建材有限公司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云台镇小岩村委会小岩村2组</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砖瓦窑</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63</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重庆富美包装印务有限公司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葛兰镇葛兰桥社区居委会健东一路17号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包装印刷</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64</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重庆市长寿区翔洲建材有限公司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洪湖镇称沱村委会00号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砖瓦窑</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65</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重庆工巧建材有限公司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江南街道天星村委会7组</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砖瓦窑</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66</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重庆市长寿区陆柒捌建材有限责任公司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海棠镇古林村委会</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砖瓦窑</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67</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重庆三杭蒙特费罗电梯部件有限公司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bCs/>
                <w:sz w:val="24"/>
              </w:rPr>
              <w:t>晏家街道</w:t>
            </w:r>
            <w:r>
              <w:rPr>
                <w:rFonts w:ascii="Calibri" w:hAnsi="Calibri" w:eastAsia="方正仿宋_GBK"/>
                <w:bCs/>
                <w:sz w:val="24"/>
              </w:rPr>
              <w:t>明桃一路1199号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工业涂装</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68</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重庆洋洋行实业有限公司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新市街道河石井村委会新光二路10号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69</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重庆市长寿区路成建材有限公司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八颗街道武华村5组杨家高桥</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水泥</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非绩效引领性企业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70</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中荣(重庆)化工分销服务有限公司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bCs/>
                <w:sz w:val="24"/>
              </w:rPr>
              <w:t>晏家街道</w:t>
            </w:r>
            <w:r>
              <w:rPr>
                <w:rFonts w:ascii="Calibri" w:hAnsi="Calibri" w:eastAsia="方正仿宋_GBK"/>
                <w:bCs/>
                <w:sz w:val="24"/>
              </w:rPr>
              <w:t>化北5支路</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71</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重庆宇心门业有限公司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新市街道新光一路5号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家具制造</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72</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重庆康乐制药有限公司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化中大道4号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制药</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73</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重庆万斯金属特种成形有限公司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bCs/>
                <w:sz w:val="24"/>
              </w:rPr>
              <w:t>晏家街道</w:t>
            </w:r>
            <w:r>
              <w:rPr>
                <w:rFonts w:ascii="Calibri" w:hAnsi="Calibri" w:eastAsia="方正仿宋_GBK"/>
                <w:bCs/>
                <w:sz w:val="24"/>
              </w:rPr>
              <w:t>河泉北一路4号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有色金属压延</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74</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重庆市九龙橡胶制品制造有限公司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长寿经济技术开发区齐心大道46号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橡胶制品制造</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75</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重庆欣欣向荣精细化工有限公司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bCs/>
                <w:sz w:val="24"/>
              </w:rPr>
              <w:t>晏家街道</w:t>
            </w:r>
            <w:r>
              <w:rPr>
                <w:rFonts w:ascii="Calibri" w:hAnsi="Calibri" w:eastAsia="方正仿宋_GBK"/>
                <w:bCs/>
                <w:sz w:val="24"/>
              </w:rPr>
              <w:t>化南一支路2号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76</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重庆鸿聚福工贸有限公司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重庆市长寿区晏家工业园齐心东路15号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工业涂装</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77</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重庆平地新型建材有限公司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渡舟街道古佛村委会创业街13号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砖瓦窑</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78</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重庆市长寿区时新建材厂</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晏家街道十字村委会陈家湾组00号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防水建筑材料制造</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79</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重庆紫光国际化工有限责任公司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晏家街道化工园区化北路3号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炼油与石油化工</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80</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重庆市恒美门业有限公司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新市街道新光一路3号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家具制造</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81</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重庆新川塔实业股份有限公司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bCs/>
                <w:sz w:val="24"/>
              </w:rPr>
              <w:t>晏家街道</w:t>
            </w:r>
            <w:r>
              <w:rPr>
                <w:rFonts w:ascii="Calibri" w:hAnsi="Calibri" w:eastAsia="方正仿宋_GBK"/>
                <w:bCs/>
                <w:sz w:val="24"/>
              </w:rPr>
              <w:t>齐心东支路8号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82</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重庆卡贝乐化工有限责任公司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轻化路6号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炼油与石油化工</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83</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重庆瑞银再生资源有限公司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bCs/>
                <w:sz w:val="24"/>
              </w:rPr>
              <w:t>晏家街道</w:t>
            </w:r>
            <w:r>
              <w:rPr>
                <w:rFonts w:ascii="Calibri" w:hAnsi="Calibri" w:eastAsia="方正仿宋_GBK"/>
                <w:bCs/>
                <w:sz w:val="24"/>
              </w:rPr>
              <w:t>齐心大道40号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84</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重庆双驰门窗有限公司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新市街道河石井村委会寿乡大道3号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家具制造</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85</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重庆欧帆门业有限公司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新市街道河石桥社区居委会工业园区新光二路4号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家具制造</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86</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重庆钢铁能源环保有限公司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长寿经济技术开发区江南大道2号附8号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87</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重庆市华胜化工有限公司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齐心大道33号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88</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重庆利彬联建材有限公司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葛兰镇罗岩村委会4、5组00号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89</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重庆豪淋机械制造有限公司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重庆市长寿区晏家工业园齐心东路11号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工业涂装</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90</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重庆宝丞炭材有限公司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重钢新区焦化厂侧</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炼油与石油化工</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91</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重庆富基塑胶有限公司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bCs/>
                <w:sz w:val="24"/>
              </w:rPr>
              <w:t>晏家街道</w:t>
            </w:r>
            <w:r>
              <w:rPr>
                <w:rFonts w:ascii="Calibri" w:hAnsi="Calibri" w:eastAsia="方正仿宋_GBK"/>
                <w:bCs/>
                <w:sz w:val="24"/>
              </w:rPr>
              <w:t>齐心东路14号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92</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重庆市豪迈家具有限公司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新市街道新光二路5号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家具制造</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93</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重庆新天包装材料有限公司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bCs/>
                <w:sz w:val="24"/>
              </w:rPr>
              <w:t>晏家街道</w:t>
            </w:r>
            <w:r>
              <w:rPr>
                <w:rFonts w:ascii="Calibri" w:hAnsi="Calibri" w:eastAsia="方正仿宋_GBK"/>
                <w:bCs/>
                <w:sz w:val="24"/>
              </w:rPr>
              <w:t>维江路40号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94</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重庆华彩化工有限责任公司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长寿经济技术开发区轻化路川染厂内</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95</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重庆渝安机械制造有限公司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bCs/>
                <w:sz w:val="24"/>
              </w:rPr>
              <w:t>晏家街道</w:t>
            </w:r>
            <w:r>
              <w:rPr>
                <w:rFonts w:ascii="Calibri" w:hAnsi="Calibri" w:eastAsia="方正仿宋_GBK"/>
                <w:bCs/>
                <w:sz w:val="24"/>
              </w:rPr>
              <w:t>齐心东路8号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96</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重庆英斯凯化工有限公司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长寿经济技术开发区李家坪（川染厂内）</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制药</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97</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重庆惠泽电器有限公司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凤城街道轻化路社区居委会轻化路彭家坪00号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工业涂装</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98</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重庆渝维家具有限公司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新市街道和谐路1号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家具制造</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99</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重庆美森门业有限公司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新市街道河石井村委会新光二路6号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家具制造</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100</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重庆永航钢铁集团有限公司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长寿经济技术开发区河泉路11号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短流程钢铁</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101</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重庆长寿西南水泥有限公司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长寿经济技术开发区化北路7号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水泥</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非绩效引领性企业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102</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重庆市长寿区拓峰建材有限公司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凤城街道古佛村委会2组</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砖瓦窑</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103</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重庆钢铁集团三峰工业有限公司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bCs/>
                <w:sz w:val="24"/>
              </w:rPr>
              <w:t>晏家街道</w:t>
            </w:r>
            <w:r>
              <w:rPr>
                <w:rFonts w:ascii="Calibri" w:hAnsi="Calibri" w:eastAsia="方正仿宋_GBK"/>
                <w:bCs/>
                <w:sz w:val="24"/>
              </w:rPr>
              <w:t>重钢厂内001号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104</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重庆鸽牌电工材料有限公司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河泉北路6号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105</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重庆市映天辉氯碱化工有限公司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bCs/>
                <w:sz w:val="24"/>
              </w:rPr>
              <w:t>晏家街道</w:t>
            </w:r>
            <w:r>
              <w:rPr>
                <w:rFonts w:ascii="Calibri" w:hAnsi="Calibri" w:eastAsia="方正仿宋_GBK"/>
                <w:bCs/>
                <w:sz w:val="24"/>
              </w:rPr>
              <w:t>化北路2号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106</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重庆三峰华神钢结构工程有限公司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长寿经济技术开发区齐心西路1号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工业涂装</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107</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重庆凯威混凝土有限公司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长寿经济技术开发区河泉北二路2号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水泥</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非绩效引领性企业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108</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重庆市青源建材有限责任公司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但渡村委会开发区1-19号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109</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重庆鼎盛印务股份有限公司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葛兰镇康富路10号街</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包装印刷</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799" w:type="dxa"/>
            <w:vAlign w:val="center"/>
          </w:tcPr>
          <w:p>
            <w:pPr>
              <w:spacing w:line="594" w:lineRule="exact"/>
              <w:jc w:val="center"/>
              <w:rPr>
                <w:rFonts w:ascii="Calibri" w:hAnsi="Calibri"/>
                <w:bCs/>
                <w:sz w:val="24"/>
              </w:rPr>
            </w:pPr>
            <w:r>
              <w:rPr>
                <w:rFonts w:ascii="Calibri" w:hAnsi="Calibri"/>
                <w:bCs/>
                <w:sz w:val="24"/>
              </w:rPr>
              <w:t>110</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威立雅长扬热能（重庆）有限责任公司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长寿经济技术开发区化北一路1-2号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799" w:type="dxa"/>
            <w:vAlign w:val="center"/>
          </w:tcPr>
          <w:p>
            <w:pPr>
              <w:spacing w:line="594" w:lineRule="exact"/>
              <w:jc w:val="center"/>
              <w:rPr>
                <w:rFonts w:ascii="Calibri" w:hAnsi="Calibri"/>
                <w:bCs/>
                <w:sz w:val="24"/>
              </w:rPr>
            </w:pPr>
            <w:r>
              <w:rPr>
                <w:rFonts w:ascii="Calibri" w:hAnsi="Calibri"/>
                <w:bCs/>
                <w:sz w:val="24"/>
              </w:rPr>
              <w:t>111</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重庆环松科技工业有限公司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齐心大道29号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汽车整车制造</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112</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重庆佐恩家具有限公司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新市街道河石井村委会新市集中工业园内00号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家具制造</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113</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重庆强达力科技发展有限公司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新市街道河石井村委会新光二路7号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114</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重庆市昆渝石材有限责任公司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双龙镇连丰村委会00号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115</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重庆国际复合材料股份有限公司长寿分公司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长寿经济技术开发区齐心大道25号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玻璃</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116</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重庆市秋田化工有限公司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长寿经济技术开发区化南一支路3号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117</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重庆昊翔纸制品有限公司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bCs/>
                <w:sz w:val="24"/>
              </w:rPr>
              <w:t>晏家街道</w:t>
            </w:r>
            <w:r>
              <w:rPr>
                <w:rFonts w:ascii="Calibri" w:hAnsi="Calibri" w:eastAsia="方正仿宋_GBK"/>
                <w:bCs/>
                <w:sz w:val="24"/>
              </w:rPr>
              <w:t>齐心西一路4号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包装印刷</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118</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重庆斯泰克瑞登梅尔材料技术有限公司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bCs/>
                <w:sz w:val="24"/>
              </w:rPr>
              <w:t>晏家街道</w:t>
            </w:r>
            <w:r>
              <w:rPr>
                <w:rFonts w:ascii="Calibri" w:hAnsi="Calibri" w:eastAsia="方正仿宋_GBK"/>
                <w:bCs/>
                <w:sz w:val="24"/>
              </w:rPr>
              <w:t>化南路1号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119</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重庆花果山石粉有限公司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葛兰镇冯庄村委会6组</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120</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重庆康普化学工业股份有限公司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bCs/>
                <w:sz w:val="24"/>
              </w:rPr>
              <w:t>晏家街道</w:t>
            </w:r>
            <w:r>
              <w:rPr>
                <w:rFonts w:ascii="Calibri" w:hAnsi="Calibri" w:eastAsia="方正仿宋_GBK"/>
                <w:bCs/>
                <w:sz w:val="24"/>
              </w:rPr>
              <w:t>化中路七号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炼油与石油化工</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121</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重庆名风家俱有限公司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新市街道河石桥社区居委会新市工业组团和谐路2号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家具制造</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122</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重庆天勤材料有限公司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bCs/>
                <w:sz w:val="24"/>
              </w:rPr>
              <w:t>晏家街道</w:t>
            </w:r>
            <w:r>
              <w:rPr>
                <w:rFonts w:ascii="Calibri" w:hAnsi="Calibri" w:eastAsia="方正仿宋_GBK"/>
                <w:bCs/>
                <w:sz w:val="24"/>
              </w:rPr>
              <w:t>齐心大道25号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玻璃</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123</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重庆市长寿区凤东页岩砖厂</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菩提街道东新村11组</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砖瓦窑</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124</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重庆鑫富化工有限公司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长寿经济技术开发区化北路6号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炼油与石油化工</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125</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重庆晏家电镀有限公司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重庆市长寿区晏家工业园区齐心东路10号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工业涂装</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126</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重庆市佳禾家具制造有限公司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新市街道新光2路</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家具制造</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127</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重庆双渝陶瓷制造有限公司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云台镇小岩村委会云高路143号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陶瓷</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128</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重庆筑盛建材有限公司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凤城街道古佛村委会15组</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砖瓦窑</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129</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中国石油天然气股份有限公司西南油气田分公司重庆天然气净化总厂引进分厂</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海棠镇土桥村委会石桥坝东路1号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130</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华应供应链管理（重庆）有限公司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重庆市长寿区晏家街道化南二支路5号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涂料制造</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131</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重庆力标汽车部件有限公司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重庆市长寿区齐心大道56号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工业涂装</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132</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重庆市长寿区超越建材有限公司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但渡镇曾祠村委会6组</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砖瓦窑</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133</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重庆淮江科技有限公司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重庆市长寿区齐心大道东路16号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工业涂装</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134</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重庆祺登科技有限公司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bCs/>
                <w:sz w:val="24"/>
              </w:rPr>
              <w:t>晏家街道</w:t>
            </w:r>
            <w:r>
              <w:rPr>
                <w:rFonts w:ascii="Calibri" w:hAnsi="Calibri" w:eastAsia="方正仿宋_GBK"/>
                <w:bCs/>
                <w:sz w:val="24"/>
              </w:rPr>
              <w:t>齐心东支路6号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工业涂装</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135</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重庆凯恩斯橡塑有限公司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bCs/>
                <w:sz w:val="24"/>
              </w:rPr>
              <w:t>晏家街道</w:t>
            </w:r>
            <w:r>
              <w:rPr>
                <w:rFonts w:ascii="Calibri" w:hAnsi="Calibri" w:eastAsia="方正仿宋_GBK"/>
                <w:bCs/>
                <w:sz w:val="24"/>
              </w:rPr>
              <w:t>齐心东支路6号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橡胶制品制造</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136</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福安药业集团重庆博圣制药有限公司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重庆市长寿区化南一路1号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制药</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137</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重庆冉升智能家具有限公司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新市街道河石桥社区居委会新民路16号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家具制造</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138</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重庆市大渡口区志华包装厂长寿分厂</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新市街道河石井村委会寿乡大道4号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139</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重庆大禹防水科技发展有限公司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长寿经济技术开发区晏家组团 G06-03-3/03 地块</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防水建筑材料制造</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140</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重庆中德防腐保温材料有限公司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bCs/>
                <w:sz w:val="24"/>
              </w:rPr>
              <w:t>晏家街道</w:t>
            </w:r>
            <w:r>
              <w:rPr>
                <w:rFonts w:ascii="Calibri" w:hAnsi="Calibri" w:eastAsia="方正仿宋_GBK"/>
                <w:bCs/>
                <w:sz w:val="24"/>
              </w:rPr>
              <w:t>钢辅三路11号1#厂房</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141</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重庆派克家具制造有限公司第一分公司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新市街道河石井村委会工业组团寿乡大道00号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家具制造</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142</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重庆云天化天聚新材料有限公司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长寿经济技术开发区化南路3号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143</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重庆丰铭炜烨汽车零部件有限公司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重庆市长寿区晏家街道化中二路8号2#生产厂房</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工业涂装</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144</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重庆思鸿塑料制品有限公司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菩提街道东新村10组00号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145</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重庆市长寿区博天家具经营部</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菩提街道红花村16组41号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家具制造</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146</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重庆沃特智成新材料科技有限公司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重庆市长寿区晏家街道化北二路</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玻璃钢</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非绩效引领性企业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147</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重庆顺贞科技有限公司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重庆市长寿区晏家工业园区齐心东路9号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工业涂装</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148</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重庆恩捷纽米科技股份有限公司</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bCs/>
                <w:sz w:val="24"/>
              </w:rPr>
              <w:t>晏家街道</w:t>
            </w:r>
            <w:r>
              <w:rPr>
                <w:rFonts w:ascii="Calibri" w:hAnsi="Calibri" w:eastAsia="方正仿宋_GBK"/>
                <w:bCs/>
                <w:sz w:val="24"/>
              </w:rPr>
              <w:t>齐心大道22号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vAlign w:val="center"/>
          </w:tcPr>
          <w:p>
            <w:pPr>
              <w:spacing w:line="594" w:lineRule="exact"/>
              <w:jc w:val="center"/>
              <w:rPr>
                <w:rFonts w:ascii="Calibri" w:hAnsi="Calibri"/>
                <w:bCs/>
                <w:sz w:val="24"/>
              </w:rPr>
            </w:pPr>
            <w:r>
              <w:rPr>
                <w:rFonts w:ascii="Calibri" w:hAnsi="Calibri"/>
                <w:bCs/>
                <w:sz w:val="24"/>
              </w:rPr>
              <w:t>149</w:t>
            </w:r>
          </w:p>
        </w:tc>
        <w:tc>
          <w:tcPr>
            <w:tcW w:w="2025" w:type="dxa"/>
            <w:vAlign w:val="center"/>
          </w:tcPr>
          <w:p>
            <w:pPr>
              <w:spacing w:line="300" w:lineRule="exact"/>
              <w:jc w:val="left"/>
              <w:rPr>
                <w:rFonts w:ascii="Calibri" w:hAnsi="Calibri" w:eastAsia="方正仿宋_GBK" w:cs="Times New Roman"/>
                <w:bCs/>
                <w:kern w:val="2"/>
                <w:sz w:val="24"/>
                <w:szCs w:val="24"/>
                <w:lang w:val="en-US" w:eastAsia="zh-CN" w:bidi="ar-SA"/>
              </w:rPr>
            </w:pPr>
            <w:r>
              <w:rPr>
                <w:rFonts w:ascii="Calibri" w:hAnsi="Calibri" w:eastAsia="方正仿宋_GBK"/>
                <w:bCs/>
                <w:sz w:val="24"/>
              </w:rPr>
              <w:t>重庆市长寿区标杆养鸡股份合作社</w:t>
            </w:r>
          </w:p>
        </w:tc>
        <w:tc>
          <w:tcPr>
            <w:tcW w:w="964"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长寿区</w:t>
            </w:r>
          </w:p>
        </w:tc>
        <w:tc>
          <w:tcPr>
            <w:tcW w:w="1861" w:type="dxa"/>
            <w:vAlign w:val="center"/>
          </w:tcPr>
          <w:p>
            <w:pPr>
              <w:spacing w:line="300" w:lineRule="exact"/>
              <w:rPr>
                <w:rFonts w:ascii="Calibri" w:hAnsi="Calibri" w:eastAsia="方正仿宋_GBK" w:cs="Times New Roman"/>
                <w:bCs/>
                <w:kern w:val="2"/>
                <w:sz w:val="24"/>
                <w:szCs w:val="24"/>
                <w:lang w:val="en-US" w:eastAsia="zh-CN" w:bidi="ar-SA"/>
              </w:rPr>
            </w:pPr>
            <w:r>
              <w:rPr>
                <w:rFonts w:ascii="Calibri" w:hAnsi="Calibri" w:eastAsia="方正仿宋_GBK"/>
                <w:bCs/>
                <w:sz w:val="24"/>
              </w:rPr>
              <w:t>葛兰镇中华村委会中华村4组00号</w:t>
            </w:r>
          </w:p>
        </w:tc>
        <w:tc>
          <w:tcPr>
            <w:tcW w:w="1282"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c>
          <w:tcPr>
            <w:tcW w:w="897"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区级名单</w:t>
            </w:r>
          </w:p>
        </w:tc>
        <w:tc>
          <w:tcPr>
            <w:tcW w:w="1283" w:type="dxa"/>
            <w:vAlign w:val="center"/>
          </w:tcPr>
          <w:p>
            <w:pPr>
              <w:spacing w:line="300" w:lineRule="exact"/>
              <w:jc w:val="center"/>
              <w:rPr>
                <w:rFonts w:ascii="Calibri" w:hAnsi="Calibri" w:eastAsia="方正仿宋_GBK" w:cs="Times New Roman"/>
                <w:bCs/>
                <w:kern w:val="2"/>
                <w:sz w:val="24"/>
                <w:szCs w:val="24"/>
                <w:lang w:val="en-US" w:eastAsia="zh-CN" w:bidi="ar-SA"/>
              </w:rPr>
            </w:pPr>
            <w:r>
              <w:rPr>
                <w:rFonts w:ascii="Calibri" w:hAnsi="Calibri" w:eastAsia="方正仿宋_GBK"/>
                <w:bCs/>
                <w:sz w:val="24"/>
              </w:rPr>
              <w:t>其他</w:t>
            </w:r>
          </w:p>
        </w:tc>
      </w:tr>
    </w:tbl>
    <w:p>
      <w:pPr>
        <w:pStyle w:val="6"/>
        <w:ind w:firstLine="0"/>
      </w:pPr>
    </w:p>
    <w:p>
      <w:pPr>
        <w:pStyle w:val="6"/>
        <w:ind w:firstLine="0"/>
      </w:pPr>
    </w:p>
    <w:p>
      <w:r>
        <w:br w:type="page"/>
      </w:r>
    </w:p>
    <w:p>
      <w:pPr>
        <w:rPr>
          <w:rFonts w:eastAsia="方正黑体_GBK"/>
        </w:rPr>
      </w:pPr>
      <w:r>
        <w:rPr>
          <w:rFonts w:eastAsia="方正黑体_GBK"/>
        </w:rPr>
        <w:t>附件2</w:t>
      </w:r>
    </w:p>
    <w:p/>
    <w:p>
      <w:pPr>
        <w:jc w:val="center"/>
        <w:rPr>
          <w:rFonts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《重庆市长寿区重污染天气应急预案（2023年修订版）（征求意见稿）》涉及单位名单</w:t>
      </w:r>
    </w:p>
    <w:tbl>
      <w:tblPr>
        <w:tblStyle w:val="19"/>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
        <w:gridCol w:w="3548"/>
        <w:gridCol w:w="1081"/>
        <w:gridCol w:w="34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trPr>
        <w:tc>
          <w:tcPr>
            <w:tcW w:w="950" w:type="dxa"/>
            <w:vAlign w:val="center"/>
          </w:tcPr>
          <w:p>
            <w:pPr>
              <w:jc w:val="center"/>
              <w:rPr>
                <w:rFonts w:ascii="Calibri" w:hAnsi="Calibri" w:eastAsia="方正楷体_GBK"/>
                <w:sz w:val="28"/>
                <w:szCs w:val="28"/>
              </w:rPr>
            </w:pPr>
            <w:r>
              <w:rPr>
                <w:rFonts w:ascii="Calibri" w:hAnsi="Calibri" w:eastAsia="方正楷体_GBK"/>
                <w:sz w:val="28"/>
                <w:szCs w:val="28"/>
              </w:rPr>
              <w:t>序号</w:t>
            </w:r>
          </w:p>
        </w:tc>
        <w:tc>
          <w:tcPr>
            <w:tcW w:w="3548" w:type="dxa"/>
            <w:vAlign w:val="center"/>
          </w:tcPr>
          <w:p>
            <w:pPr>
              <w:jc w:val="center"/>
              <w:rPr>
                <w:rFonts w:ascii="Calibri" w:hAnsi="Calibri" w:eastAsia="方正楷体_GBK"/>
                <w:sz w:val="28"/>
                <w:szCs w:val="28"/>
              </w:rPr>
            </w:pPr>
            <w:r>
              <w:rPr>
                <w:rFonts w:ascii="Calibri" w:hAnsi="Calibri" w:eastAsia="方正楷体_GBK"/>
                <w:sz w:val="28"/>
                <w:szCs w:val="28"/>
              </w:rPr>
              <w:t>单位名称</w:t>
            </w:r>
          </w:p>
        </w:tc>
        <w:tc>
          <w:tcPr>
            <w:tcW w:w="1081" w:type="dxa"/>
            <w:vAlign w:val="center"/>
          </w:tcPr>
          <w:p>
            <w:pPr>
              <w:jc w:val="center"/>
              <w:rPr>
                <w:rFonts w:ascii="Calibri" w:hAnsi="Calibri" w:eastAsia="方正楷体_GBK"/>
                <w:sz w:val="28"/>
                <w:szCs w:val="28"/>
              </w:rPr>
            </w:pPr>
            <w:r>
              <w:rPr>
                <w:rFonts w:ascii="Calibri" w:hAnsi="Calibri" w:eastAsia="方正楷体_GBK"/>
                <w:sz w:val="28"/>
                <w:szCs w:val="28"/>
              </w:rPr>
              <w:t>序号</w:t>
            </w:r>
          </w:p>
        </w:tc>
        <w:tc>
          <w:tcPr>
            <w:tcW w:w="3419" w:type="dxa"/>
            <w:vAlign w:val="center"/>
          </w:tcPr>
          <w:p>
            <w:pPr>
              <w:jc w:val="center"/>
              <w:rPr>
                <w:rFonts w:ascii="Calibri" w:hAnsi="Calibri" w:eastAsia="方正楷体_GBK"/>
                <w:sz w:val="28"/>
                <w:szCs w:val="28"/>
              </w:rPr>
            </w:pPr>
            <w:r>
              <w:rPr>
                <w:rFonts w:ascii="Calibri" w:hAnsi="Calibri" w:eastAsia="方正楷体_GBK"/>
                <w:sz w:val="28"/>
                <w:szCs w:val="28"/>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trPr>
        <w:tc>
          <w:tcPr>
            <w:tcW w:w="950" w:type="dxa"/>
            <w:vAlign w:val="center"/>
          </w:tcPr>
          <w:p>
            <w:pPr>
              <w:jc w:val="center"/>
              <w:rPr>
                <w:rFonts w:ascii="Calibri" w:hAnsi="Calibri" w:eastAsia="方正仿宋_GBK"/>
                <w:sz w:val="28"/>
                <w:szCs w:val="28"/>
              </w:rPr>
            </w:pPr>
            <w:r>
              <w:rPr>
                <w:rFonts w:ascii="Calibri" w:hAnsi="Calibri" w:eastAsia="方正仿宋_GBK"/>
                <w:sz w:val="28"/>
                <w:szCs w:val="28"/>
              </w:rPr>
              <w:t>1</w:t>
            </w:r>
          </w:p>
        </w:tc>
        <w:tc>
          <w:tcPr>
            <w:tcW w:w="3548" w:type="dxa"/>
            <w:vAlign w:val="center"/>
          </w:tcPr>
          <w:p>
            <w:pPr>
              <w:jc w:val="center"/>
              <w:rPr>
                <w:rFonts w:ascii="Calibri" w:hAnsi="Calibri" w:eastAsia="方正仿宋_GBK"/>
                <w:sz w:val="28"/>
                <w:szCs w:val="28"/>
              </w:rPr>
            </w:pPr>
            <w:r>
              <w:rPr>
                <w:rFonts w:ascii="Calibri" w:hAnsi="Calibri" w:eastAsia="方正仿宋_GBK"/>
                <w:sz w:val="28"/>
                <w:szCs w:val="28"/>
              </w:rPr>
              <w:t>区委宣传部</w:t>
            </w:r>
          </w:p>
        </w:tc>
        <w:tc>
          <w:tcPr>
            <w:tcW w:w="1081" w:type="dxa"/>
            <w:vAlign w:val="center"/>
          </w:tcPr>
          <w:p>
            <w:pPr>
              <w:jc w:val="center"/>
              <w:rPr>
                <w:rFonts w:ascii="Calibri" w:hAnsi="Calibri" w:eastAsia="方正仿宋_GBK"/>
                <w:sz w:val="28"/>
                <w:szCs w:val="28"/>
              </w:rPr>
            </w:pPr>
            <w:r>
              <w:rPr>
                <w:rFonts w:ascii="Calibri" w:hAnsi="Calibri" w:eastAsia="方正仿宋_GBK"/>
                <w:sz w:val="28"/>
                <w:szCs w:val="28"/>
              </w:rPr>
              <w:t>12</w:t>
            </w:r>
          </w:p>
        </w:tc>
        <w:tc>
          <w:tcPr>
            <w:tcW w:w="3419" w:type="dxa"/>
            <w:vAlign w:val="center"/>
          </w:tcPr>
          <w:p>
            <w:pPr>
              <w:jc w:val="center"/>
              <w:rPr>
                <w:rFonts w:ascii="Calibri" w:hAnsi="Calibri" w:eastAsia="方正仿宋_GBK"/>
                <w:sz w:val="28"/>
                <w:szCs w:val="28"/>
              </w:rPr>
            </w:pPr>
            <w:r>
              <w:rPr>
                <w:rFonts w:ascii="Calibri" w:hAnsi="Calibri" w:eastAsia="方正仿宋_GBK"/>
                <w:sz w:val="28"/>
                <w:szCs w:val="28"/>
              </w:rPr>
              <w:t>区文化旅游委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trPr>
        <w:tc>
          <w:tcPr>
            <w:tcW w:w="950" w:type="dxa"/>
            <w:vAlign w:val="center"/>
          </w:tcPr>
          <w:p>
            <w:pPr>
              <w:jc w:val="center"/>
              <w:rPr>
                <w:rFonts w:ascii="Calibri" w:hAnsi="Calibri" w:eastAsia="方正仿宋_GBK"/>
                <w:sz w:val="28"/>
                <w:szCs w:val="28"/>
              </w:rPr>
            </w:pPr>
            <w:r>
              <w:rPr>
                <w:rFonts w:ascii="Calibri" w:hAnsi="Calibri" w:eastAsia="方正仿宋_GBK"/>
                <w:sz w:val="28"/>
                <w:szCs w:val="28"/>
              </w:rPr>
              <w:t>2</w:t>
            </w:r>
          </w:p>
        </w:tc>
        <w:tc>
          <w:tcPr>
            <w:tcW w:w="3548" w:type="dxa"/>
            <w:vAlign w:val="center"/>
          </w:tcPr>
          <w:p>
            <w:pPr>
              <w:jc w:val="center"/>
              <w:rPr>
                <w:rFonts w:ascii="Calibri" w:hAnsi="Calibri" w:eastAsia="方正仿宋_GBK"/>
                <w:sz w:val="28"/>
                <w:szCs w:val="28"/>
              </w:rPr>
            </w:pPr>
            <w:r>
              <w:rPr>
                <w:rFonts w:ascii="Calibri" w:hAnsi="Calibri" w:eastAsia="方正仿宋_GBK"/>
                <w:sz w:val="28"/>
                <w:szCs w:val="28"/>
              </w:rPr>
              <w:t>区委网信办</w:t>
            </w:r>
          </w:p>
        </w:tc>
        <w:tc>
          <w:tcPr>
            <w:tcW w:w="1081" w:type="dxa"/>
            <w:vAlign w:val="center"/>
          </w:tcPr>
          <w:p>
            <w:pPr>
              <w:jc w:val="center"/>
              <w:rPr>
                <w:rFonts w:ascii="Calibri" w:hAnsi="Calibri" w:eastAsia="方正仿宋_GBK"/>
                <w:sz w:val="28"/>
                <w:szCs w:val="28"/>
              </w:rPr>
            </w:pPr>
            <w:r>
              <w:rPr>
                <w:rFonts w:ascii="Calibri" w:hAnsi="Calibri" w:eastAsia="方正仿宋_GBK"/>
                <w:sz w:val="28"/>
                <w:szCs w:val="28"/>
              </w:rPr>
              <w:t>13</w:t>
            </w:r>
          </w:p>
        </w:tc>
        <w:tc>
          <w:tcPr>
            <w:tcW w:w="3419" w:type="dxa"/>
            <w:vAlign w:val="center"/>
          </w:tcPr>
          <w:p>
            <w:pPr>
              <w:jc w:val="center"/>
              <w:rPr>
                <w:rFonts w:ascii="Calibri" w:hAnsi="Calibri" w:eastAsia="方正仿宋_GBK"/>
                <w:sz w:val="28"/>
                <w:szCs w:val="28"/>
              </w:rPr>
            </w:pPr>
            <w:r>
              <w:rPr>
                <w:rFonts w:ascii="Calibri" w:hAnsi="Calibri" w:eastAsia="方正仿宋_GBK"/>
                <w:sz w:val="28"/>
                <w:szCs w:val="28"/>
              </w:rPr>
              <w:t>区卫生健康委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trPr>
        <w:tc>
          <w:tcPr>
            <w:tcW w:w="950" w:type="dxa"/>
            <w:vAlign w:val="center"/>
          </w:tcPr>
          <w:p>
            <w:pPr>
              <w:jc w:val="center"/>
              <w:rPr>
                <w:rFonts w:ascii="Calibri" w:hAnsi="Calibri" w:eastAsia="方正仿宋_GBK"/>
                <w:sz w:val="28"/>
                <w:szCs w:val="28"/>
              </w:rPr>
            </w:pPr>
            <w:r>
              <w:rPr>
                <w:rFonts w:ascii="Calibri" w:hAnsi="Calibri" w:eastAsia="方正仿宋_GBK"/>
                <w:sz w:val="28"/>
                <w:szCs w:val="28"/>
              </w:rPr>
              <w:t>3</w:t>
            </w:r>
          </w:p>
        </w:tc>
        <w:tc>
          <w:tcPr>
            <w:tcW w:w="3548" w:type="dxa"/>
            <w:vAlign w:val="center"/>
          </w:tcPr>
          <w:p>
            <w:pPr>
              <w:jc w:val="center"/>
              <w:rPr>
                <w:rFonts w:ascii="Calibri" w:hAnsi="Calibri" w:eastAsia="方正仿宋_GBK"/>
                <w:sz w:val="28"/>
                <w:szCs w:val="28"/>
              </w:rPr>
            </w:pPr>
            <w:r>
              <w:rPr>
                <w:rFonts w:ascii="Calibri" w:hAnsi="Calibri" w:eastAsia="方正仿宋_GBK"/>
                <w:sz w:val="28"/>
                <w:szCs w:val="28"/>
              </w:rPr>
              <w:t>区教委</w:t>
            </w:r>
          </w:p>
        </w:tc>
        <w:tc>
          <w:tcPr>
            <w:tcW w:w="1081" w:type="dxa"/>
            <w:vAlign w:val="center"/>
          </w:tcPr>
          <w:p>
            <w:pPr>
              <w:jc w:val="center"/>
              <w:rPr>
                <w:rFonts w:ascii="Calibri" w:hAnsi="Calibri" w:eastAsia="方正仿宋_GBK"/>
                <w:sz w:val="28"/>
                <w:szCs w:val="28"/>
              </w:rPr>
            </w:pPr>
            <w:r>
              <w:rPr>
                <w:rFonts w:ascii="Calibri" w:hAnsi="Calibri" w:eastAsia="方正仿宋_GBK"/>
                <w:sz w:val="28"/>
                <w:szCs w:val="28"/>
              </w:rPr>
              <w:t>14</w:t>
            </w:r>
          </w:p>
        </w:tc>
        <w:tc>
          <w:tcPr>
            <w:tcW w:w="3419" w:type="dxa"/>
            <w:vAlign w:val="center"/>
          </w:tcPr>
          <w:p>
            <w:pPr>
              <w:jc w:val="center"/>
              <w:rPr>
                <w:rFonts w:ascii="Calibri" w:hAnsi="Calibri" w:eastAsia="方正仿宋_GBK"/>
                <w:sz w:val="28"/>
                <w:szCs w:val="28"/>
              </w:rPr>
            </w:pPr>
            <w:r>
              <w:rPr>
                <w:rFonts w:ascii="Calibri" w:hAnsi="Calibri" w:eastAsia="方正仿宋_GBK"/>
                <w:sz w:val="28"/>
                <w:szCs w:val="28"/>
              </w:rPr>
              <w:t>区应急局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trPr>
        <w:tc>
          <w:tcPr>
            <w:tcW w:w="950" w:type="dxa"/>
            <w:vAlign w:val="center"/>
          </w:tcPr>
          <w:p>
            <w:pPr>
              <w:jc w:val="center"/>
              <w:rPr>
                <w:rFonts w:ascii="Calibri" w:hAnsi="Calibri" w:eastAsia="方正仿宋_GBK"/>
                <w:sz w:val="28"/>
                <w:szCs w:val="28"/>
              </w:rPr>
            </w:pPr>
            <w:r>
              <w:rPr>
                <w:rFonts w:ascii="Calibri" w:hAnsi="Calibri" w:eastAsia="方正仿宋_GBK"/>
                <w:sz w:val="28"/>
                <w:szCs w:val="28"/>
              </w:rPr>
              <w:t>4</w:t>
            </w:r>
          </w:p>
        </w:tc>
        <w:tc>
          <w:tcPr>
            <w:tcW w:w="3548" w:type="dxa"/>
            <w:vAlign w:val="center"/>
          </w:tcPr>
          <w:p>
            <w:pPr>
              <w:jc w:val="center"/>
              <w:rPr>
                <w:rFonts w:ascii="Calibri" w:hAnsi="Calibri" w:eastAsia="方正仿宋_GBK"/>
                <w:sz w:val="28"/>
                <w:szCs w:val="28"/>
              </w:rPr>
            </w:pPr>
            <w:r>
              <w:rPr>
                <w:rFonts w:ascii="Calibri" w:hAnsi="Calibri" w:eastAsia="方正仿宋_GBK"/>
                <w:sz w:val="28"/>
                <w:szCs w:val="28"/>
              </w:rPr>
              <w:t>区经济信息委</w:t>
            </w:r>
          </w:p>
        </w:tc>
        <w:tc>
          <w:tcPr>
            <w:tcW w:w="1081" w:type="dxa"/>
            <w:vAlign w:val="center"/>
          </w:tcPr>
          <w:p>
            <w:pPr>
              <w:jc w:val="center"/>
              <w:rPr>
                <w:rFonts w:ascii="Calibri" w:hAnsi="Calibri" w:eastAsia="方正仿宋_GBK"/>
                <w:sz w:val="28"/>
                <w:szCs w:val="28"/>
              </w:rPr>
            </w:pPr>
            <w:r>
              <w:rPr>
                <w:rFonts w:ascii="Calibri" w:hAnsi="Calibri" w:eastAsia="方正仿宋_GBK"/>
                <w:sz w:val="28"/>
                <w:szCs w:val="28"/>
              </w:rPr>
              <w:t>15</w:t>
            </w:r>
          </w:p>
        </w:tc>
        <w:tc>
          <w:tcPr>
            <w:tcW w:w="3419" w:type="dxa"/>
            <w:vAlign w:val="center"/>
          </w:tcPr>
          <w:p>
            <w:pPr>
              <w:jc w:val="center"/>
              <w:rPr>
                <w:rFonts w:ascii="Calibri" w:hAnsi="Calibri" w:eastAsia="方正仿宋_GBK"/>
                <w:sz w:val="28"/>
                <w:szCs w:val="28"/>
              </w:rPr>
            </w:pPr>
            <w:r>
              <w:rPr>
                <w:rFonts w:ascii="Calibri" w:hAnsi="Calibri" w:eastAsia="方正仿宋_GBK"/>
                <w:sz w:val="28"/>
                <w:szCs w:val="28"/>
              </w:rPr>
              <w:t>区国资委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trPr>
        <w:tc>
          <w:tcPr>
            <w:tcW w:w="950" w:type="dxa"/>
            <w:vAlign w:val="center"/>
          </w:tcPr>
          <w:p>
            <w:pPr>
              <w:jc w:val="center"/>
              <w:rPr>
                <w:rFonts w:ascii="Calibri" w:hAnsi="Calibri" w:eastAsia="方正仿宋_GBK"/>
                <w:sz w:val="28"/>
                <w:szCs w:val="28"/>
              </w:rPr>
            </w:pPr>
            <w:r>
              <w:rPr>
                <w:rFonts w:ascii="Calibri" w:hAnsi="Calibri" w:eastAsia="方正仿宋_GBK"/>
                <w:sz w:val="28"/>
                <w:szCs w:val="28"/>
              </w:rPr>
              <w:t>5</w:t>
            </w:r>
          </w:p>
        </w:tc>
        <w:tc>
          <w:tcPr>
            <w:tcW w:w="3548" w:type="dxa"/>
            <w:vAlign w:val="center"/>
          </w:tcPr>
          <w:p>
            <w:pPr>
              <w:jc w:val="center"/>
              <w:rPr>
                <w:rFonts w:ascii="Calibri" w:hAnsi="Calibri" w:eastAsia="方正仿宋_GBK"/>
                <w:sz w:val="28"/>
                <w:szCs w:val="28"/>
              </w:rPr>
            </w:pPr>
            <w:r>
              <w:rPr>
                <w:rFonts w:ascii="Calibri" w:hAnsi="Calibri" w:eastAsia="方正仿宋_GBK"/>
                <w:sz w:val="28"/>
                <w:szCs w:val="28"/>
              </w:rPr>
              <w:t>区公安局</w:t>
            </w:r>
          </w:p>
        </w:tc>
        <w:tc>
          <w:tcPr>
            <w:tcW w:w="1081" w:type="dxa"/>
            <w:vAlign w:val="center"/>
          </w:tcPr>
          <w:p>
            <w:pPr>
              <w:jc w:val="center"/>
              <w:rPr>
                <w:rFonts w:ascii="Calibri" w:hAnsi="Calibri" w:eastAsia="方正仿宋_GBK"/>
                <w:sz w:val="28"/>
                <w:szCs w:val="28"/>
              </w:rPr>
            </w:pPr>
            <w:r>
              <w:rPr>
                <w:rFonts w:ascii="Calibri" w:hAnsi="Calibri" w:eastAsia="方正仿宋_GBK"/>
                <w:sz w:val="28"/>
                <w:szCs w:val="28"/>
              </w:rPr>
              <w:t>16</w:t>
            </w:r>
          </w:p>
        </w:tc>
        <w:tc>
          <w:tcPr>
            <w:tcW w:w="3419" w:type="dxa"/>
            <w:vAlign w:val="center"/>
          </w:tcPr>
          <w:p>
            <w:pPr>
              <w:jc w:val="center"/>
              <w:rPr>
                <w:rFonts w:ascii="Calibri" w:hAnsi="Calibri" w:eastAsia="方正仿宋_GBK"/>
                <w:sz w:val="28"/>
                <w:szCs w:val="28"/>
              </w:rPr>
            </w:pPr>
            <w:r>
              <w:rPr>
                <w:rFonts w:ascii="Calibri" w:hAnsi="Calibri" w:eastAsia="方正仿宋_GBK"/>
                <w:sz w:val="28"/>
                <w:szCs w:val="28"/>
              </w:rPr>
              <w:t>长寿高新区服务中心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trPr>
        <w:tc>
          <w:tcPr>
            <w:tcW w:w="950" w:type="dxa"/>
            <w:vAlign w:val="center"/>
          </w:tcPr>
          <w:p>
            <w:pPr>
              <w:jc w:val="center"/>
              <w:rPr>
                <w:rFonts w:ascii="Calibri" w:hAnsi="Calibri" w:eastAsia="方正仿宋_GBK"/>
                <w:sz w:val="28"/>
                <w:szCs w:val="28"/>
              </w:rPr>
            </w:pPr>
            <w:r>
              <w:rPr>
                <w:rFonts w:ascii="Calibri" w:hAnsi="Calibri" w:eastAsia="方正仿宋_GBK"/>
                <w:sz w:val="28"/>
                <w:szCs w:val="28"/>
              </w:rPr>
              <w:t>6</w:t>
            </w:r>
          </w:p>
        </w:tc>
        <w:tc>
          <w:tcPr>
            <w:tcW w:w="3548" w:type="dxa"/>
            <w:vAlign w:val="center"/>
          </w:tcPr>
          <w:p>
            <w:pPr>
              <w:jc w:val="center"/>
              <w:rPr>
                <w:rFonts w:ascii="Calibri" w:hAnsi="Calibri" w:eastAsia="方正仿宋_GBK"/>
                <w:sz w:val="28"/>
                <w:szCs w:val="28"/>
              </w:rPr>
            </w:pPr>
            <w:r>
              <w:rPr>
                <w:rFonts w:ascii="Calibri" w:hAnsi="Calibri" w:eastAsia="方正仿宋_GBK"/>
                <w:sz w:val="28"/>
                <w:szCs w:val="28"/>
              </w:rPr>
              <w:t>区财政局</w:t>
            </w:r>
          </w:p>
        </w:tc>
        <w:tc>
          <w:tcPr>
            <w:tcW w:w="1081" w:type="dxa"/>
            <w:vAlign w:val="center"/>
          </w:tcPr>
          <w:p>
            <w:pPr>
              <w:jc w:val="center"/>
              <w:rPr>
                <w:rFonts w:ascii="Calibri" w:hAnsi="Calibri" w:eastAsia="方正仿宋_GBK"/>
                <w:sz w:val="28"/>
                <w:szCs w:val="28"/>
              </w:rPr>
            </w:pPr>
            <w:r>
              <w:rPr>
                <w:rFonts w:ascii="Calibri" w:hAnsi="Calibri" w:eastAsia="方正仿宋_GBK"/>
                <w:sz w:val="28"/>
                <w:szCs w:val="28"/>
              </w:rPr>
              <w:t>17</w:t>
            </w:r>
          </w:p>
        </w:tc>
        <w:tc>
          <w:tcPr>
            <w:tcW w:w="3419" w:type="dxa"/>
            <w:vAlign w:val="center"/>
          </w:tcPr>
          <w:p>
            <w:pPr>
              <w:jc w:val="center"/>
              <w:rPr>
                <w:rFonts w:ascii="Calibri" w:hAnsi="Calibri" w:eastAsia="方正仿宋_GBK"/>
                <w:sz w:val="28"/>
                <w:szCs w:val="28"/>
              </w:rPr>
            </w:pPr>
            <w:r>
              <w:rPr>
                <w:rFonts w:ascii="Calibri" w:hAnsi="Calibri" w:eastAsia="方正仿宋_GBK"/>
                <w:sz w:val="28"/>
                <w:szCs w:val="28"/>
              </w:rPr>
              <w:t>长寿经开区生态环境局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trPr>
        <w:tc>
          <w:tcPr>
            <w:tcW w:w="950" w:type="dxa"/>
            <w:vAlign w:val="center"/>
          </w:tcPr>
          <w:p>
            <w:pPr>
              <w:jc w:val="center"/>
              <w:rPr>
                <w:rFonts w:ascii="Calibri" w:hAnsi="Calibri" w:eastAsia="方正仿宋_GBK"/>
                <w:sz w:val="28"/>
                <w:szCs w:val="28"/>
              </w:rPr>
            </w:pPr>
            <w:r>
              <w:rPr>
                <w:rFonts w:ascii="Calibri" w:hAnsi="Calibri" w:eastAsia="方正仿宋_GBK"/>
                <w:sz w:val="28"/>
                <w:szCs w:val="28"/>
              </w:rPr>
              <w:t>7</w:t>
            </w:r>
          </w:p>
        </w:tc>
        <w:tc>
          <w:tcPr>
            <w:tcW w:w="3548" w:type="dxa"/>
            <w:vAlign w:val="center"/>
          </w:tcPr>
          <w:p>
            <w:pPr>
              <w:jc w:val="center"/>
              <w:rPr>
                <w:rFonts w:ascii="Calibri" w:hAnsi="Calibri" w:eastAsia="方正仿宋_GBK"/>
                <w:sz w:val="28"/>
                <w:szCs w:val="28"/>
              </w:rPr>
            </w:pPr>
            <w:r>
              <w:rPr>
                <w:rFonts w:ascii="Calibri" w:hAnsi="Calibri" w:eastAsia="方正仿宋_GBK"/>
                <w:sz w:val="28"/>
                <w:szCs w:val="28"/>
              </w:rPr>
              <w:t>区生态环境局</w:t>
            </w:r>
          </w:p>
        </w:tc>
        <w:tc>
          <w:tcPr>
            <w:tcW w:w="1081" w:type="dxa"/>
            <w:vAlign w:val="center"/>
          </w:tcPr>
          <w:p>
            <w:pPr>
              <w:jc w:val="center"/>
              <w:rPr>
                <w:rFonts w:ascii="Calibri" w:hAnsi="Calibri" w:eastAsia="方正仿宋_GBK"/>
                <w:sz w:val="28"/>
                <w:szCs w:val="28"/>
              </w:rPr>
            </w:pPr>
            <w:r>
              <w:rPr>
                <w:rFonts w:ascii="Calibri" w:hAnsi="Calibri" w:eastAsia="方正仿宋_GBK"/>
                <w:sz w:val="28"/>
                <w:szCs w:val="28"/>
              </w:rPr>
              <w:t>18</w:t>
            </w:r>
          </w:p>
        </w:tc>
        <w:tc>
          <w:tcPr>
            <w:tcW w:w="3419" w:type="dxa"/>
            <w:vAlign w:val="center"/>
          </w:tcPr>
          <w:p>
            <w:pPr>
              <w:jc w:val="center"/>
              <w:rPr>
                <w:rFonts w:ascii="Calibri" w:hAnsi="Calibri" w:eastAsia="方正仿宋_GBK"/>
                <w:sz w:val="28"/>
                <w:szCs w:val="28"/>
              </w:rPr>
            </w:pPr>
            <w:r>
              <w:rPr>
                <w:rFonts w:ascii="Calibri" w:hAnsi="Calibri" w:eastAsia="方正仿宋_GBK"/>
                <w:sz w:val="28"/>
                <w:szCs w:val="28"/>
              </w:rPr>
              <w:t>区市场监管局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trPr>
        <w:tc>
          <w:tcPr>
            <w:tcW w:w="950" w:type="dxa"/>
            <w:vAlign w:val="center"/>
          </w:tcPr>
          <w:p>
            <w:pPr>
              <w:jc w:val="center"/>
              <w:rPr>
                <w:rFonts w:ascii="Calibri" w:hAnsi="Calibri" w:eastAsia="方正仿宋_GBK"/>
                <w:sz w:val="28"/>
                <w:szCs w:val="28"/>
              </w:rPr>
            </w:pPr>
            <w:r>
              <w:rPr>
                <w:rFonts w:ascii="Calibri" w:hAnsi="Calibri" w:eastAsia="方正仿宋_GBK"/>
                <w:sz w:val="28"/>
                <w:szCs w:val="28"/>
              </w:rPr>
              <w:t>8</w:t>
            </w:r>
          </w:p>
        </w:tc>
        <w:tc>
          <w:tcPr>
            <w:tcW w:w="3548" w:type="dxa"/>
            <w:vAlign w:val="center"/>
          </w:tcPr>
          <w:p>
            <w:pPr>
              <w:jc w:val="center"/>
              <w:rPr>
                <w:rFonts w:ascii="Calibri" w:hAnsi="Calibri" w:eastAsia="方正仿宋_GBK"/>
                <w:sz w:val="28"/>
                <w:szCs w:val="28"/>
              </w:rPr>
            </w:pPr>
            <w:r>
              <w:rPr>
                <w:rFonts w:ascii="Calibri" w:hAnsi="Calibri" w:eastAsia="方正仿宋_GBK"/>
                <w:sz w:val="28"/>
                <w:szCs w:val="28"/>
              </w:rPr>
              <w:t>区交通局</w:t>
            </w:r>
          </w:p>
        </w:tc>
        <w:tc>
          <w:tcPr>
            <w:tcW w:w="1081" w:type="dxa"/>
            <w:vAlign w:val="center"/>
          </w:tcPr>
          <w:p>
            <w:pPr>
              <w:jc w:val="center"/>
              <w:rPr>
                <w:rFonts w:ascii="Calibri" w:hAnsi="Calibri" w:eastAsia="方正仿宋_GBK"/>
                <w:sz w:val="28"/>
                <w:szCs w:val="28"/>
              </w:rPr>
            </w:pPr>
            <w:r>
              <w:rPr>
                <w:rFonts w:ascii="Calibri" w:hAnsi="Calibri" w:eastAsia="方正仿宋_GBK"/>
                <w:sz w:val="28"/>
                <w:szCs w:val="28"/>
              </w:rPr>
              <w:t>19</w:t>
            </w:r>
          </w:p>
        </w:tc>
        <w:tc>
          <w:tcPr>
            <w:tcW w:w="3419" w:type="dxa"/>
            <w:vAlign w:val="center"/>
          </w:tcPr>
          <w:p>
            <w:pPr>
              <w:jc w:val="center"/>
              <w:rPr>
                <w:rFonts w:ascii="Calibri" w:hAnsi="Calibri" w:eastAsia="方正仿宋_GBK"/>
                <w:sz w:val="28"/>
                <w:szCs w:val="28"/>
              </w:rPr>
            </w:pPr>
            <w:r>
              <w:rPr>
                <w:rFonts w:ascii="Calibri" w:hAnsi="Calibri" w:eastAsia="方正仿宋_GBK"/>
                <w:sz w:val="28"/>
                <w:szCs w:val="28"/>
              </w:rPr>
              <w:t>区气象局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trPr>
        <w:tc>
          <w:tcPr>
            <w:tcW w:w="950" w:type="dxa"/>
            <w:vAlign w:val="center"/>
          </w:tcPr>
          <w:p>
            <w:pPr>
              <w:jc w:val="center"/>
              <w:rPr>
                <w:rFonts w:ascii="Calibri" w:hAnsi="Calibri" w:eastAsia="方正仿宋_GBK"/>
                <w:sz w:val="28"/>
                <w:szCs w:val="28"/>
              </w:rPr>
            </w:pPr>
            <w:r>
              <w:rPr>
                <w:rFonts w:ascii="Calibri" w:hAnsi="Calibri" w:eastAsia="方正仿宋_GBK"/>
                <w:sz w:val="28"/>
                <w:szCs w:val="28"/>
              </w:rPr>
              <w:t>9</w:t>
            </w:r>
          </w:p>
        </w:tc>
        <w:tc>
          <w:tcPr>
            <w:tcW w:w="3548" w:type="dxa"/>
            <w:vAlign w:val="center"/>
          </w:tcPr>
          <w:p>
            <w:pPr>
              <w:jc w:val="center"/>
              <w:rPr>
                <w:rFonts w:ascii="Calibri" w:hAnsi="Calibri" w:eastAsia="方正仿宋_GBK"/>
                <w:sz w:val="28"/>
                <w:szCs w:val="28"/>
              </w:rPr>
            </w:pPr>
            <w:r>
              <w:rPr>
                <w:rFonts w:ascii="Calibri" w:hAnsi="Calibri" w:eastAsia="方正仿宋_GBK"/>
                <w:sz w:val="28"/>
                <w:szCs w:val="28"/>
              </w:rPr>
              <w:t>区</w:t>
            </w:r>
            <w:r>
              <w:rPr>
                <w:rFonts w:ascii="Calibri" w:hAnsi="Calibri" w:eastAsia="方正仿宋_GBK"/>
                <w:kern w:val="0"/>
                <w:sz w:val="28"/>
                <w:szCs w:val="28"/>
              </w:rPr>
              <w:t>住房城乡建委</w:t>
            </w:r>
          </w:p>
        </w:tc>
        <w:tc>
          <w:tcPr>
            <w:tcW w:w="1081" w:type="dxa"/>
            <w:vAlign w:val="center"/>
          </w:tcPr>
          <w:p>
            <w:pPr>
              <w:jc w:val="center"/>
              <w:rPr>
                <w:rFonts w:ascii="Calibri" w:hAnsi="Calibri" w:eastAsia="方正仿宋_GBK"/>
                <w:sz w:val="28"/>
                <w:szCs w:val="28"/>
              </w:rPr>
            </w:pPr>
            <w:r>
              <w:rPr>
                <w:rFonts w:ascii="Calibri" w:hAnsi="Calibri" w:eastAsia="方正仿宋_GBK"/>
                <w:sz w:val="28"/>
                <w:szCs w:val="28"/>
              </w:rPr>
              <w:t>20</w:t>
            </w:r>
          </w:p>
        </w:tc>
        <w:tc>
          <w:tcPr>
            <w:tcW w:w="3419" w:type="dxa"/>
            <w:vAlign w:val="center"/>
          </w:tcPr>
          <w:p>
            <w:pPr>
              <w:jc w:val="center"/>
              <w:rPr>
                <w:rFonts w:ascii="Calibri" w:hAnsi="Calibri" w:eastAsia="方正仿宋_GBK"/>
                <w:sz w:val="28"/>
                <w:szCs w:val="28"/>
              </w:rPr>
            </w:pPr>
            <w:r>
              <w:rPr>
                <w:rFonts w:ascii="Calibri" w:hAnsi="Calibri" w:eastAsia="方正仿宋_GBK"/>
                <w:sz w:val="28"/>
                <w:szCs w:val="28"/>
              </w:rPr>
              <w:t>各街镇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trPr>
        <w:tc>
          <w:tcPr>
            <w:tcW w:w="950" w:type="dxa"/>
            <w:vAlign w:val="center"/>
          </w:tcPr>
          <w:p>
            <w:pPr>
              <w:jc w:val="center"/>
              <w:rPr>
                <w:rFonts w:ascii="Calibri" w:hAnsi="Calibri" w:eastAsia="方正仿宋_GBK"/>
                <w:sz w:val="28"/>
                <w:szCs w:val="28"/>
              </w:rPr>
            </w:pPr>
            <w:r>
              <w:rPr>
                <w:rFonts w:ascii="Calibri" w:hAnsi="Calibri" w:eastAsia="方正仿宋_GBK"/>
                <w:sz w:val="28"/>
                <w:szCs w:val="28"/>
              </w:rPr>
              <w:t>10</w:t>
            </w:r>
          </w:p>
        </w:tc>
        <w:tc>
          <w:tcPr>
            <w:tcW w:w="3548" w:type="dxa"/>
            <w:vAlign w:val="center"/>
          </w:tcPr>
          <w:p>
            <w:pPr>
              <w:jc w:val="center"/>
              <w:rPr>
                <w:rFonts w:ascii="Calibri" w:hAnsi="Calibri" w:eastAsia="方正仿宋_GBK"/>
                <w:sz w:val="28"/>
                <w:szCs w:val="28"/>
              </w:rPr>
            </w:pPr>
            <w:r>
              <w:rPr>
                <w:rFonts w:ascii="Calibri" w:hAnsi="Calibri" w:eastAsia="方正仿宋_GBK"/>
                <w:sz w:val="28"/>
                <w:szCs w:val="28"/>
              </w:rPr>
              <w:t>区城市管理局</w:t>
            </w:r>
          </w:p>
        </w:tc>
        <w:tc>
          <w:tcPr>
            <w:tcW w:w="1081" w:type="dxa"/>
            <w:vAlign w:val="center"/>
          </w:tcPr>
          <w:p>
            <w:pPr>
              <w:jc w:val="center"/>
              <w:rPr>
                <w:rFonts w:ascii="Calibri" w:hAnsi="Calibri" w:eastAsia="方正仿宋_GBK"/>
                <w:sz w:val="28"/>
                <w:szCs w:val="28"/>
              </w:rPr>
            </w:pPr>
            <w:r>
              <w:rPr>
                <w:rFonts w:ascii="Calibri" w:hAnsi="Calibri" w:eastAsia="方正仿宋_GBK"/>
                <w:sz w:val="28"/>
                <w:szCs w:val="28"/>
              </w:rPr>
              <w:t>21</w:t>
            </w:r>
          </w:p>
        </w:tc>
        <w:tc>
          <w:tcPr>
            <w:tcW w:w="3419" w:type="dxa"/>
            <w:vAlign w:val="center"/>
          </w:tcPr>
          <w:p>
            <w:pPr>
              <w:jc w:val="center"/>
              <w:rPr>
                <w:rFonts w:ascii="Calibri" w:hAnsi="Calibri" w:eastAsia="方正仿宋_GBK"/>
                <w:sz w:val="28"/>
                <w:szCs w:val="28"/>
              </w:rPr>
            </w:pPr>
            <w:r>
              <w:rPr>
                <w:rFonts w:ascii="Calibri" w:hAnsi="Calibri" w:eastAsia="方正仿宋_GBK"/>
                <w:sz w:val="28"/>
                <w:szCs w:val="28"/>
              </w:rPr>
              <w:t>国网重庆长寿供电公司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exact"/>
        </w:trPr>
        <w:tc>
          <w:tcPr>
            <w:tcW w:w="950" w:type="dxa"/>
            <w:vAlign w:val="center"/>
          </w:tcPr>
          <w:p>
            <w:pPr>
              <w:jc w:val="center"/>
              <w:rPr>
                <w:rFonts w:ascii="Calibri" w:hAnsi="Calibri" w:eastAsia="方正仿宋_GBK"/>
                <w:sz w:val="28"/>
                <w:szCs w:val="28"/>
              </w:rPr>
            </w:pPr>
            <w:r>
              <w:rPr>
                <w:rFonts w:ascii="Calibri" w:hAnsi="Calibri" w:eastAsia="方正仿宋_GBK"/>
                <w:sz w:val="28"/>
                <w:szCs w:val="28"/>
              </w:rPr>
              <w:t>11</w:t>
            </w:r>
          </w:p>
        </w:tc>
        <w:tc>
          <w:tcPr>
            <w:tcW w:w="3548" w:type="dxa"/>
            <w:vAlign w:val="center"/>
          </w:tcPr>
          <w:p>
            <w:pPr>
              <w:jc w:val="center"/>
              <w:rPr>
                <w:rFonts w:ascii="Calibri" w:hAnsi="Calibri" w:eastAsia="方正仿宋_GBK"/>
                <w:sz w:val="28"/>
                <w:szCs w:val="28"/>
              </w:rPr>
            </w:pPr>
            <w:r>
              <w:rPr>
                <w:rFonts w:ascii="Calibri" w:hAnsi="Calibri" w:eastAsia="方正仿宋_GBK"/>
                <w:sz w:val="28"/>
                <w:szCs w:val="28"/>
              </w:rPr>
              <w:t>区农业农村委</w:t>
            </w:r>
          </w:p>
        </w:tc>
        <w:tc>
          <w:tcPr>
            <w:tcW w:w="1081" w:type="dxa"/>
            <w:vAlign w:val="center"/>
          </w:tcPr>
          <w:p>
            <w:pPr>
              <w:jc w:val="center"/>
              <w:rPr>
                <w:rFonts w:ascii="Calibri" w:hAnsi="Calibri" w:eastAsia="方正仿宋_GBK"/>
                <w:sz w:val="28"/>
                <w:szCs w:val="28"/>
              </w:rPr>
            </w:pPr>
            <w:r>
              <w:rPr>
                <w:rFonts w:ascii="Calibri" w:hAnsi="Calibri" w:eastAsia="方正仿宋_GBK"/>
                <w:sz w:val="28"/>
                <w:szCs w:val="28"/>
              </w:rPr>
              <w:t>22</w:t>
            </w:r>
          </w:p>
        </w:tc>
        <w:tc>
          <w:tcPr>
            <w:tcW w:w="3419" w:type="dxa"/>
            <w:vAlign w:val="center"/>
          </w:tcPr>
          <w:p>
            <w:pPr>
              <w:jc w:val="center"/>
              <w:rPr>
                <w:rFonts w:ascii="Calibri" w:hAnsi="Calibri" w:eastAsia="方正仿宋_GBK"/>
                <w:sz w:val="28"/>
                <w:szCs w:val="28"/>
              </w:rPr>
            </w:pPr>
            <w:r>
              <w:rPr>
                <w:rFonts w:ascii="Calibri" w:hAnsi="Calibri" w:eastAsia="方正仿宋_GBK"/>
                <w:sz w:val="28"/>
                <w:szCs w:val="28"/>
              </w:rPr>
              <w:t>长寿开投集团</w:t>
            </w:r>
          </w:p>
        </w:tc>
      </w:tr>
    </w:tbl>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Tahoma">
    <w:panose1 w:val="020B0604030504040204"/>
    <w:charset w:val="00"/>
    <w:family w:val="swiss"/>
    <w:pitch w:val="default"/>
    <w:sig w:usb0="E1002EFF" w:usb1="C000605B" w:usb2="00000029" w:usb3="00000000" w:csb0="200101FF" w:csb1="20280000"/>
  </w:font>
  <w:font w:name="方正仿宋_GBK">
    <w:panose1 w:val="03000509000000000000"/>
    <w:charset w:val="86"/>
    <w:family w:val="script"/>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rPr>
        <w:rFonts w:ascii="宋体" w:hAnsi="宋体" w:eastAsia="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firstLine="280" w:firstLineChars="100"/>
      <w:rPr>
        <w:sz w:val="28"/>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rPr>
        <w:rFonts w:eastAsia="宋体"/>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rPr>
        <w:rFonts w:ascii="宋体" w:hAnsi="宋体" w:eastAsia="宋体"/>
        <w:sz w:val="2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firstLine="180" w:firstLineChars="10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rPr>
        <w:rFonts w:ascii="宋体" w:hAnsi="宋体" w:eastAsia="宋体"/>
        <w:sz w:val="28"/>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firstLine="180" w:firstLineChars="10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jc w:val="right"/>
      <w:rPr>
        <w:rFonts w:eastAsia="宋体"/>
      </w:rPr>
    </w:pPr>
    <w:r>
      <w:rPr>
        <w:rFonts w:hint="eastAsia" w:ascii="宋体" w:eastAsia="宋体"/>
        <w:kern w:val="0"/>
        <w:sz w:val="28"/>
      </w:rPr>
      <w:t>―</w:t>
    </w:r>
    <w:r>
      <w:rPr>
        <w:rFonts w:ascii="宋体"/>
        <w:kern w:val="0"/>
        <w:sz w:val="28"/>
      </w:rPr>
      <w:fldChar w:fldCharType="begin"/>
    </w:r>
    <w:r>
      <w:rPr>
        <w:rFonts w:ascii="宋体"/>
        <w:kern w:val="0"/>
        <w:sz w:val="28"/>
      </w:rPr>
      <w:instrText xml:space="preserve"> PAGE </w:instrText>
    </w:r>
    <w:r>
      <w:rPr>
        <w:rFonts w:ascii="宋体"/>
        <w:kern w:val="0"/>
        <w:sz w:val="28"/>
      </w:rPr>
      <w:fldChar w:fldCharType="separate"/>
    </w:r>
    <w:r>
      <w:rPr>
        <w:rFonts w:ascii="宋体"/>
        <w:kern w:val="0"/>
        <w:sz w:val="28"/>
      </w:rPr>
      <w:t>25</w:t>
    </w:r>
    <w:r>
      <w:rPr>
        <w:rFonts w:ascii="宋体"/>
        <w:kern w:val="0"/>
        <w:sz w:val="28"/>
      </w:rPr>
      <w:fldChar w:fldCharType="end"/>
    </w:r>
    <w:r>
      <w:rPr>
        <w:rFonts w:hint="eastAsia" w:ascii="宋体" w:eastAsia="宋体"/>
        <w:kern w:val="0"/>
        <w:sz w:val="28"/>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firstLine="280" w:firstLineChars="100"/>
      <w:jc w:val="both"/>
    </w:pPr>
    <w:r>
      <w:rPr>
        <w:rFonts w:hint="eastAsia" w:ascii="宋体" w:eastAsia="宋体"/>
        <w:kern w:val="0"/>
        <w:sz w:val="28"/>
      </w:rPr>
      <w:t>―</w:t>
    </w:r>
    <w:r>
      <w:rPr>
        <w:rFonts w:ascii="宋体"/>
        <w:kern w:val="0"/>
        <w:sz w:val="28"/>
      </w:rPr>
      <w:fldChar w:fldCharType="begin"/>
    </w:r>
    <w:r>
      <w:rPr>
        <w:rFonts w:ascii="宋体"/>
        <w:kern w:val="0"/>
        <w:sz w:val="28"/>
      </w:rPr>
      <w:instrText xml:space="preserve"> PAGE </w:instrText>
    </w:r>
    <w:r>
      <w:rPr>
        <w:rFonts w:ascii="宋体"/>
        <w:kern w:val="0"/>
        <w:sz w:val="28"/>
      </w:rPr>
      <w:fldChar w:fldCharType="separate"/>
    </w:r>
    <w:r>
      <w:rPr>
        <w:rFonts w:ascii="宋体"/>
        <w:kern w:val="0"/>
        <w:sz w:val="28"/>
      </w:rPr>
      <w:t>4</w:t>
    </w:r>
    <w:r>
      <w:rPr>
        <w:rFonts w:ascii="宋体"/>
        <w:kern w:val="0"/>
        <w:sz w:val="28"/>
      </w:rPr>
      <w:fldChar w:fldCharType="end"/>
    </w:r>
    <w:r>
      <w:rPr>
        <w:rFonts w:hint="eastAsia" w:ascii="宋体" w:eastAsia="宋体"/>
        <w:kern w:val="0"/>
        <w:sz w:val="28"/>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enter" w:pos="4156"/>
        <w:tab w:val="clear" w:pos="4153"/>
      </w:tabs>
      <w:wordWrap w:val="0"/>
      <w:ind w:firstLine="360"/>
      <w:jc w:val="right"/>
      <w:rPr>
        <w:rFonts w:eastAsia="宋体"/>
      </w:rPr>
    </w:pPr>
    <w:r>
      <w:rPr>
        <w:rFonts w:hint="eastAsia"/>
      </w:rPr>
      <w:tab/>
    </w:r>
    <w:r>
      <w:rPr>
        <w:rFonts w:hint="eastAsia" w:ascii="宋体" w:hAnsi="宋体" w:eastAsia="宋体"/>
        <w:sz w:val="28"/>
        <w:szCs w:val="28"/>
      </w:rPr>
      <w:t xml:space="preserve">— </w:t>
    </w:r>
    <w:r>
      <w:rPr>
        <w:rFonts w:ascii="宋体" w:hAnsi="宋体" w:eastAsia="宋体"/>
        <w:sz w:val="28"/>
        <w:szCs w:val="28"/>
      </w:rPr>
      <w:fldChar w:fldCharType="begin"/>
    </w:r>
    <w:r>
      <w:rPr>
        <w:rStyle w:val="21"/>
        <w:rFonts w:ascii="宋体" w:hAnsi="宋体"/>
        <w:sz w:val="28"/>
        <w:szCs w:val="28"/>
      </w:rPr>
      <w:instrText xml:space="preserve"> PAGE </w:instrText>
    </w:r>
    <w:r>
      <w:rPr>
        <w:rFonts w:ascii="宋体" w:hAnsi="宋体" w:eastAsia="宋体"/>
        <w:sz w:val="28"/>
        <w:szCs w:val="28"/>
      </w:rPr>
      <w:fldChar w:fldCharType="separate"/>
    </w:r>
    <w:r>
      <w:rPr>
        <w:rStyle w:val="21"/>
        <w:rFonts w:ascii="宋体" w:hAnsi="宋体"/>
        <w:sz w:val="28"/>
        <w:szCs w:val="28"/>
      </w:rPr>
      <w:t>45</w:t>
    </w:r>
    <w:r>
      <w:rPr>
        <w:rFonts w:ascii="宋体" w:hAnsi="宋体" w:eastAsia="宋体"/>
        <w:sz w:val="28"/>
        <w:szCs w:val="28"/>
      </w:rPr>
      <w:fldChar w:fldCharType="end"/>
    </w:r>
    <w:r>
      <w:rPr>
        <w:rFonts w:hint="eastAsia" w:ascii="宋体" w:hAnsi="宋体" w:eastAsia="宋体"/>
        <w:sz w:val="28"/>
        <w:szCs w:val="28"/>
      </w:rPr>
      <w:t xml:space="preserve"> —</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280" w:firstLineChars="100"/>
    </w:pPr>
    <w:r>
      <w:rPr>
        <w:rFonts w:hint="eastAsia" w:ascii="宋体" w:hAnsi="宋体" w:eastAsia="宋体"/>
        <w:sz w:val="28"/>
        <w:szCs w:val="28"/>
      </w:rPr>
      <w:t xml:space="preserve">— </w:t>
    </w:r>
    <w:r>
      <w:rPr>
        <w:rFonts w:ascii="宋体" w:hAnsi="宋体" w:eastAsia="宋体"/>
        <w:sz w:val="28"/>
        <w:szCs w:val="28"/>
      </w:rPr>
      <w:fldChar w:fldCharType="begin"/>
    </w:r>
    <w:r>
      <w:rPr>
        <w:rStyle w:val="21"/>
        <w:rFonts w:ascii="宋体" w:hAnsi="宋体"/>
        <w:sz w:val="28"/>
        <w:szCs w:val="28"/>
      </w:rPr>
      <w:instrText xml:space="preserve"> PAGE </w:instrText>
    </w:r>
    <w:r>
      <w:rPr>
        <w:rFonts w:ascii="宋体" w:hAnsi="宋体" w:eastAsia="宋体"/>
        <w:sz w:val="28"/>
        <w:szCs w:val="28"/>
      </w:rPr>
      <w:fldChar w:fldCharType="separate"/>
    </w:r>
    <w:r>
      <w:rPr>
        <w:rStyle w:val="21"/>
        <w:rFonts w:ascii="宋体" w:hAnsi="宋体"/>
        <w:sz w:val="28"/>
        <w:szCs w:val="28"/>
      </w:rPr>
      <w:t>44</w:t>
    </w:r>
    <w:r>
      <w:rPr>
        <w:rFonts w:ascii="宋体" w:hAnsi="宋体" w:eastAsia="宋体"/>
        <w:sz w:val="28"/>
        <w:szCs w:val="28"/>
      </w:rPr>
      <w:fldChar w:fldCharType="end"/>
    </w:r>
    <w:r>
      <w:rPr>
        <w:rFonts w:hint="eastAsia" w:ascii="宋体" w:hAnsi="宋体" w:eastAsia="宋体"/>
        <w:sz w:val="28"/>
        <w:szCs w:val="28"/>
      </w:rPr>
      <w:t xml:space="preserve"> —</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198" w:firstLineChars="6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1"/>
      </w:pBdr>
    </w:pPr>
    <w:r>
      <w:rPr>
        <w:rFonts w:hint="eastAsia"/>
      </w:rPr>
      <w:t>`</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B53216"/>
    <w:multiLevelType w:val="singleLevel"/>
    <w:tmpl w:val="14B5321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YzFlOGM0ZDM0OWRlMTgwMWJhNWI2OTFmMmM5NGZiNTYifQ=="/>
  </w:docVars>
  <w:rsids>
    <w:rsidRoot w:val="007E08F7"/>
    <w:rsid w:val="00071672"/>
    <w:rsid w:val="00073498"/>
    <w:rsid w:val="00086AA9"/>
    <w:rsid w:val="00092C74"/>
    <w:rsid w:val="000F60C1"/>
    <w:rsid w:val="00105D14"/>
    <w:rsid w:val="00126D87"/>
    <w:rsid w:val="00155DFA"/>
    <w:rsid w:val="001717D1"/>
    <w:rsid w:val="001835C4"/>
    <w:rsid w:val="001B1074"/>
    <w:rsid w:val="001C691D"/>
    <w:rsid w:val="001D54C6"/>
    <w:rsid w:val="001F3BBA"/>
    <w:rsid w:val="002112F5"/>
    <w:rsid w:val="002354A0"/>
    <w:rsid w:val="002820C4"/>
    <w:rsid w:val="00290FBE"/>
    <w:rsid w:val="002B0B99"/>
    <w:rsid w:val="002B69D8"/>
    <w:rsid w:val="002C3476"/>
    <w:rsid w:val="002E20F1"/>
    <w:rsid w:val="002E4625"/>
    <w:rsid w:val="002F1F1C"/>
    <w:rsid w:val="002F65F3"/>
    <w:rsid w:val="0030735A"/>
    <w:rsid w:val="00316008"/>
    <w:rsid w:val="00316CD9"/>
    <w:rsid w:val="00350A0A"/>
    <w:rsid w:val="003738DB"/>
    <w:rsid w:val="00385505"/>
    <w:rsid w:val="003D6AAB"/>
    <w:rsid w:val="003E0C36"/>
    <w:rsid w:val="0041059C"/>
    <w:rsid w:val="00444DD9"/>
    <w:rsid w:val="00465516"/>
    <w:rsid w:val="00466875"/>
    <w:rsid w:val="004710BE"/>
    <w:rsid w:val="004A2EBE"/>
    <w:rsid w:val="004B2226"/>
    <w:rsid w:val="004C403A"/>
    <w:rsid w:val="004C74BA"/>
    <w:rsid w:val="004E033D"/>
    <w:rsid w:val="004E1B8A"/>
    <w:rsid w:val="0051782C"/>
    <w:rsid w:val="0052299C"/>
    <w:rsid w:val="00570608"/>
    <w:rsid w:val="005712E5"/>
    <w:rsid w:val="005A7C65"/>
    <w:rsid w:val="005B0F03"/>
    <w:rsid w:val="005C0467"/>
    <w:rsid w:val="005E519A"/>
    <w:rsid w:val="005E57DD"/>
    <w:rsid w:val="00607AE3"/>
    <w:rsid w:val="00612509"/>
    <w:rsid w:val="006268F1"/>
    <w:rsid w:val="00643719"/>
    <w:rsid w:val="00657534"/>
    <w:rsid w:val="00672FA9"/>
    <w:rsid w:val="006B5510"/>
    <w:rsid w:val="006F4080"/>
    <w:rsid w:val="007039CD"/>
    <w:rsid w:val="00724E69"/>
    <w:rsid w:val="00771EEA"/>
    <w:rsid w:val="007B46A4"/>
    <w:rsid w:val="007D2572"/>
    <w:rsid w:val="007E08F7"/>
    <w:rsid w:val="00812944"/>
    <w:rsid w:val="00835A9E"/>
    <w:rsid w:val="00840115"/>
    <w:rsid w:val="008664B6"/>
    <w:rsid w:val="0089609A"/>
    <w:rsid w:val="00897D74"/>
    <w:rsid w:val="008A3C03"/>
    <w:rsid w:val="008A7302"/>
    <w:rsid w:val="008C09EC"/>
    <w:rsid w:val="008C43AF"/>
    <w:rsid w:val="008D485F"/>
    <w:rsid w:val="008E388E"/>
    <w:rsid w:val="008E4E4E"/>
    <w:rsid w:val="008F6E28"/>
    <w:rsid w:val="00900223"/>
    <w:rsid w:val="00902B2B"/>
    <w:rsid w:val="00964D83"/>
    <w:rsid w:val="00965764"/>
    <w:rsid w:val="00973905"/>
    <w:rsid w:val="009D29F0"/>
    <w:rsid w:val="009E1CEA"/>
    <w:rsid w:val="009E35B9"/>
    <w:rsid w:val="009F1B12"/>
    <w:rsid w:val="009F59E3"/>
    <w:rsid w:val="00A25B6D"/>
    <w:rsid w:val="00A84F32"/>
    <w:rsid w:val="00AA0A57"/>
    <w:rsid w:val="00AA51B8"/>
    <w:rsid w:val="00AE34EF"/>
    <w:rsid w:val="00B00945"/>
    <w:rsid w:val="00B1639A"/>
    <w:rsid w:val="00B74AEE"/>
    <w:rsid w:val="00B872CD"/>
    <w:rsid w:val="00B93FC4"/>
    <w:rsid w:val="00BE23B5"/>
    <w:rsid w:val="00C21570"/>
    <w:rsid w:val="00C27EA7"/>
    <w:rsid w:val="00C34C6D"/>
    <w:rsid w:val="00C62533"/>
    <w:rsid w:val="00C6602C"/>
    <w:rsid w:val="00C8261A"/>
    <w:rsid w:val="00CC28B0"/>
    <w:rsid w:val="00CC6E43"/>
    <w:rsid w:val="00CE1EF5"/>
    <w:rsid w:val="00CE5C2A"/>
    <w:rsid w:val="00D67817"/>
    <w:rsid w:val="00D92C5F"/>
    <w:rsid w:val="00DC039B"/>
    <w:rsid w:val="00DD2C60"/>
    <w:rsid w:val="00DE3FE6"/>
    <w:rsid w:val="00DF251D"/>
    <w:rsid w:val="00E31253"/>
    <w:rsid w:val="00E3618F"/>
    <w:rsid w:val="00E45C89"/>
    <w:rsid w:val="00E57460"/>
    <w:rsid w:val="00E57719"/>
    <w:rsid w:val="00E772AE"/>
    <w:rsid w:val="00EA3484"/>
    <w:rsid w:val="00ED3310"/>
    <w:rsid w:val="00F00CB0"/>
    <w:rsid w:val="00F252B1"/>
    <w:rsid w:val="00FC5278"/>
    <w:rsid w:val="00FC7ED9"/>
    <w:rsid w:val="05344197"/>
    <w:rsid w:val="0543184F"/>
    <w:rsid w:val="087E7746"/>
    <w:rsid w:val="0C5651C9"/>
    <w:rsid w:val="0F486821"/>
    <w:rsid w:val="110A1D05"/>
    <w:rsid w:val="154A2D09"/>
    <w:rsid w:val="15E955A1"/>
    <w:rsid w:val="1872795F"/>
    <w:rsid w:val="1B282961"/>
    <w:rsid w:val="1BA66ABC"/>
    <w:rsid w:val="1E1B62F5"/>
    <w:rsid w:val="21C02359"/>
    <w:rsid w:val="22544E7F"/>
    <w:rsid w:val="2430046E"/>
    <w:rsid w:val="247A2120"/>
    <w:rsid w:val="265E096F"/>
    <w:rsid w:val="273419E0"/>
    <w:rsid w:val="27683B84"/>
    <w:rsid w:val="277A412C"/>
    <w:rsid w:val="283F7913"/>
    <w:rsid w:val="30D576D9"/>
    <w:rsid w:val="327306F6"/>
    <w:rsid w:val="34D04B4C"/>
    <w:rsid w:val="36AE064F"/>
    <w:rsid w:val="39276AD2"/>
    <w:rsid w:val="3A402CE4"/>
    <w:rsid w:val="3AEA1FB6"/>
    <w:rsid w:val="3DFD5A9A"/>
    <w:rsid w:val="42005621"/>
    <w:rsid w:val="4E0F0720"/>
    <w:rsid w:val="4FB07E4C"/>
    <w:rsid w:val="4FCE73FC"/>
    <w:rsid w:val="51487763"/>
    <w:rsid w:val="516773DF"/>
    <w:rsid w:val="55C13367"/>
    <w:rsid w:val="59D91176"/>
    <w:rsid w:val="5AFE6376"/>
    <w:rsid w:val="5B6059BB"/>
    <w:rsid w:val="5F243C9D"/>
    <w:rsid w:val="613C4296"/>
    <w:rsid w:val="65E92155"/>
    <w:rsid w:val="687C00FB"/>
    <w:rsid w:val="6AD12E72"/>
    <w:rsid w:val="6D9746DD"/>
    <w:rsid w:val="71580C7F"/>
    <w:rsid w:val="737201D3"/>
    <w:rsid w:val="75FF3B1B"/>
    <w:rsid w:val="7AF31F44"/>
    <w:rsid w:val="7B857BD5"/>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rules v:ext="edit">
        <o:r id="V:Rule1" type="connector" idref="#肘形连接符 30"/>
        <o:r id="V:Rule2" type="connector" idref="#直接箭头连接符 32"/>
        <o:r id="V:Rule3" type="connector" idref="#直接箭头连接符 33"/>
        <o:r id="V:Rule4" type="connector" idref="#直接箭头连接符 34"/>
        <o:r id="V:Rule5" type="connector" idref="#肘形连接符 35"/>
        <o:r id="V:Rule6" type="connector" idref="#直接箭头连接符 38"/>
        <o:r id="V:Rule7" type="connector" idref="#直接箭头连接符 39"/>
        <o:r id="V:Rule8" type="connector" idref="#直接箭头连接符 40"/>
        <o:r id="V:Rule9" type="connector" idref="#直接箭头连接符 41"/>
        <o:r id="V:Rule10" type="connector" idref="#肘形连接符 43"/>
        <o:r id="V:Rule11" type="connector" idref="#肘形连接符 45"/>
        <o:r id="V:Rule12" type="connector" idref="#直接箭头连接符 47"/>
        <o:r id="V:Rule13" type="connector" idref="#直接箭头连接符 48"/>
        <o:r id="V:Rule14" type="connector" idref="#直接箭头连接符 49"/>
        <o:r id="V:Rule15" type="connector" idref="#直接箭头连接符 53"/>
        <o:r id="V:Rule16" type="connector" idref="#直接箭头连接符 54"/>
        <o:r id="V:Rule17" type="connector" idref="#直接箭头连接符 55"/>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qFormat="1" w:uiPriority="0" w:semiHidden="0" w:name="Normal Indent"/>
    <w:lsdException w:uiPriority="0" w:name="footnote text"/>
    <w:lsdException w:qFormat="1" w:uiPriority="99" w:semiHidden="0" w:name="annotation text"/>
    <w:lsdException w:qFormat="1" w:uiPriority="99" w:semiHidden="0" w:name="header"/>
    <w:lsdException w:qFormat="1"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link w:val="40"/>
    <w:qFormat/>
    <w:uiPriority w:val="0"/>
    <w:pPr>
      <w:keepNext/>
      <w:keepLines/>
      <w:spacing w:before="340" w:after="330" w:line="578" w:lineRule="auto"/>
      <w:jc w:val="center"/>
      <w:outlineLvl w:val="0"/>
    </w:pPr>
    <w:rPr>
      <w:b/>
      <w:bCs/>
      <w:kern w:val="44"/>
      <w:sz w:val="36"/>
      <w:szCs w:val="44"/>
    </w:rPr>
  </w:style>
  <w:style w:type="paragraph" w:styleId="3">
    <w:name w:val="heading 2"/>
    <w:basedOn w:val="1"/>
    <w:next w:val="1"/>
    <w:link w:val="41"/>
    <w:qFormat/>
    <w:uiPriority w:val="0"/>
    <w:pPr>
      <w:keepNext/>
      <w:keepLines/>
      <w:spacing w:before="260" w:after="260" w:line="416" w:lineRule="auto"/>
      <w:outlineLvl w:val="1"/>
    </w:pPr>
    <w:rPr>
      <w:rFonts w:ascii="等线 Light" w:hAnsi="等线 Light" w:eastAsia="等线 Light"/>
      <w:b/>
      <w:bCs/>
      <w:szCs w:val="32"/>
    </w:rPr>
  </w:style>
  <w:style w:type="paragraph" w:styleId="4">
    <w:name w:val="heading 3"/>
    <w:basedOn w:val="1"/>
    <w:next w:val="1"/>
    <w:link w:val="42"/>
    <w:qFormat/>
    <w:uiPriority w:val="0"/>
    <w:pPr>
      <w:keepNext/>
      <w:keepLines/>
      <w:spacing w:before="260" w:after="260" w:line="416" w:lineRule="auto"/>
      <w:outlineLvl w:val="2"/>
    </w:pPr>
    <w:rPr>
      <w:b/>
      <w:bCs/>
      <w:szCs w:val="32"/>
    </w:rPr>
  </w:style>
  <w:style w:type="paragraph" w:styleId="5">
    <w:name w:val="heading 4"/>
    <w:basedOn w:val="3"/>
    <w:next w:val="1"/>
    <w:link w:val="43"/>
    <w:qFormat/>
    <w:uiPriority w:val="0"/>
    <w:pPr>
      <w:spacing w:before="280" w:after="290" w:line="376" w:lineRule="atLeast"/>
      <w:outlineLvl w:val="3"/>
    </w:pPr>
    <w:rPr>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Normal Indent"/>
    <w:basedOn w:val="1"/>
    <w:unhideWhenUsed/>
    <w:qFormat/>
    <w:uiPriority w:val="0"/>
    <w:pPr>
      <w:ind w:firstLine="420"/>
    </w:pPr>
  </w:style>
  <w:style w:type="paragraph" w:styleId="7">
    <w:name w:val="Document Map"/>
    <w:basedOn w:val="1"/>
    <w:link w:val="44"/>
    <w:qFormat/>
    <w:uiPriority w:val="0"/>
    <w:rPr>
      <w:rFonts w:ascii="宋体" w:hAnsi="Calibri" w:eastAsia="宋体" w:cs="黑体"/>
      <w:sz w:val="18"/>
      <w:szCs w:val="18"/>
    </w:rPr>
  </w:style>
  <w:style w:type="paragraph" w:styleId="8">
    <w:name w:val="annotation text"/>
    <w:basedOn w:val="1"/>
    <w:link w:val="50"/>
    <w:unhideWhenUsed/>
    <w:qFormat/>
    <w:uiPriority w:val="99"/>
    <w:pPr>
      <w:jc w:val="left"/>
    </w:pPr>
  </w:style>
  <w:style w:type="paragraph" w:styleId="9">
    <w:name w:val="Body Text"/>
    <w:basedOn w:val="1"/>
    <w:link w:val="48"/>
    <w:qFormat/>
    <w:uiPriority w:val="0"/>
    <w:rPr>
      <w:b/>
      <w:szCs w:val="28"/>
    </w:rPr>
  </w:style>
  <w:style w:type="paragraph" w:styleId="10">
    <w:name w:val="toc 5"/>
    <w:basedOn w:val="1"/>
    <w:next w:val="1"/>
    <w:qFormat/>
    <w:uiPriority w:val="0"/>
    <w:pPr>
      <w:ind w:left="1680" w:leftChars="800"/>
    </w:pPr>
  </w:style>
  <w:style w:type="paragraph" w:styleId="11">
    <w:name w:val="Balloon Text"/>
    <w:basedOn w:val="1"/>
    <w:link w:val="45"/>
    <w:qFormat/>
    <w:uiPriority w:val="0"/>
    <w:rPr>
      <w:rFonts w:ascii="Calibri" w:hAnsi="Calibri" w:cs="黑体"/>
      <w:sz w:val="18"/>
      <w:szCs w:val="18"/>
    </w:rPr>
  </w:style>
  <w:style w:type="paragraph" w:styleId="12">
    <w:name w:val="footer"/>
    <w:basedOn w:val="1"/>
    <w:link w:val="39"/>
    <w:unhideWhenUsed/>
    <w:qFormat/>
    <w:uiPriority w:val="0"/>
    <w:pPr>
      <w:tabs>
        <w:tab w:val="center" w:pos="4153"/>
        <w:tab w:val="right" w:pos="8306"/>
      </w:tabs>
      <w:snapToGrid w:val="0"/>
      <w:jc w:val="left"/>
    </w:pPr>
    <w:rPr>
      <w:sz w:val="18"/>
      <w:szCs w:val="18"/>
    </w:rPr>
  </w:style>
  <w:style w:type="paragraph" w:styleId="13">
    <w:name w:val="header"/>
    <w:basedOn w:val="1"/>
    <w:link w:val="38"/>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0"/>
    <w:pPr>
      <w:tabs>
        <w:tab w:val="right" w:leader="dot" w:pos="9060"/>
      </w:tabs>
      <w:spacing w:line="500" w:lineRule="exact"/>
      <w:jc w:val="center"/>
    </w:pPr>
  </w:style>
  <w:style w:type="paragraph" w:styleId="15">
    <w:name w:val="toc 2"/>
    <w:basedOn w:val="1"/>
    <w:next w:val="1"/>
    <w:qFormat/>
    <w:uiPriority w:val="0"/>
    <w:pPr>
      <w:tabs>
        <w:tab w:val="right" w:leader="dot" w:pos="9060"/>
      </w:tabs>
      <w:spacing w:line="520" w:lineRule="exact"/>
      <w:ind w:left="419" w:leftChars="131" w:firstLine="199" w:firstLineChars="71"/>
    </w:pPr>
  </w:style>
  <w:style w:type="paragraph" w:styleId="16">
    <w:name w:val="Normal (Web)"/>
    <w:basedOn w:val="1"/>
    <w:unhideWhenUsed/>
    <w:qFormat/>
    <w:uiPriority w:val="99"/>
    <w:pPr>
      <w:spacing w:before="100" w:beforeAutospacing="1" w:after="100" w:afterAutospacing="1"/>
      <w:jc w:val="left"/>
    </w:pPr>
    <w:rPr>
      <w:rFonts w:eastAsia="宋体"/>
      <w:kern w:val="0"/>
      <w:sz w:val="24"/>
      <w:szCs w:val="20"/>
    </w:rPr>
  </w:style>
  <w:style w:type="paragraph" w:styleId="17">
    <w:name w:val="annotation subject"/>
    <w:basedOn w:val="8"/>
    <w:next w:val="8"/>
    <w:link w:val="51"/>
    <w:unhideWhenUsed/>
    <w:qFormat/>
    <w:uiPriority w:val="99"/>
    <w:rPr>
      <w:b/>
      <w:bCs/>
    </w:rPr>
  </w:style>
  <w:style w:type="table" w:styleId="19">
    <w:name w:val="Table Grid"/>
    <w:basedOn w:val="18"/>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page number"/>
    <w:basedOn w:val="20"/>
    <w:qFormat/>
    <w:uiPriority w:val="0"/>
    <w:rPr>
      <w:rFonts w:eastAsia="宋体"/>
      <w:sz w:val="24"/>
    </w:rPr>
  </w:style>
  <w:style w:type="character" w:styleId="22">
    <w:name w:val="Hyperlink"/>
    <w:basedOn w:val="20"/>
    <w:qFormat/>
    <w:uiPriority w:val="0"/>
    <w:rPr>
      <w:color w:val="0000FF"/>
      <w:u w:val="single"/>
    </w:rPr>
  </w:style>
  <w:style w:type="character" w:styleId="23">
    <w:name w:val="annotation reference"/>
    <w:basedOn w:val="20"/>
    <w:unhideWhenUsed/>
    <w:qFormat/>
    <w:uiPriority w:val="99"/>
    <w:rPr>
      <w:sz w:val="21"/>
      <w:szCs w:val="21"/>
    </w:rPr>
  </w:style>
  <w:style w:type="paragraph" w:customStyle="1" w:styleId="24">
    <w:name w:val="默认段落字体 Para Char"/>
    <w:basedOn w:val="1"/>
    <w:qFormat/>
    <w:uiPriority w:val="0"/>
    <w:rPr>
      <w:rFonts w:ascii="Tahoma" w:hAnsi="Tahoma"/>
      <w:sz w:val="24"/>
      <w:szCs w:val="20"/>
    </w:rPr>
  </w:style>
  <w:style w:type="paragraph" w:customStyle="1" w:styleId="25">
    <w:name w:val="Char Char1 Char"/>
    <w:basedOn w:val="1"/>
    <w:qFormat/>
    <w:uiPriority w:val="0"/>
    <w:rPr>
      <w:rFonts w:ascii="Calibri" w:hAnsi="Calibri" w:eastAsia="宋体" w:cs="Calibri"/>
      <w:sz w:val="21"/>
      <w:szCs w:val="21"/>
    </w:rPr>
  </w:style>
  <w:style w:type="paragraph" w:customStyle="1" w:styleId="26">
    <w:name w:val="Char"/>
    <w:basedOn w:val="1"/>
    <w:qFormat/>
    <w:uiPriority w:val="0"/>
    <w:pPr>
      <w:tabs>
        <w:tab w:val="left" w:pos="1352"/>
      </w:tabs>
      <w:ind w:left="1352" w:hanging="720"/>
    </w:pPr>
    <w:rPr>
      <w:rFonts w:eastAsia="宋体"/>
      <w:sz w:val="24"/>
    </w:rPr>
  </w:style>
  <w:style w:type="paragraph" w:customStyle="1" w:styleId="27">
    <w:name w:val="A-正文"/>
    <w:basedOn w:val="1"/>
    <w:qFormat/>
    <w:uiPriority w:val="0"/>
    <w:rPr>
      <w:kern w:val="0"/>
      <w:szCs w:val="20"/>
    </w:rPr>
  </w:style>
  <w:style w:type="paragraph" w:customStyle="1" w:styleId="28">
    <w:name w:val="正文1"/>
    <w:basedOn w:val="1"/>
    <w:qFormat/>
    <w:uiPriority w:val="0"/>
    <w:pPr>
      <w:spacing w:line="560" w:lineRule="exact"/>
    </w:pPr>
    <w:rPr>
      <w:sz w:val="28"/>
    </w:rPr>
  </w:style>
  <w:style w:type="paragraph" w:customStyle="1" w:styleId="29">
    <w:name w:val="表格文字使用"/>
    <w:basedOn w:val="30"/>
    <w:qFormat/>
    <w:uiPriority w:val="0"/>
    <w:pPr>
      <w:spacing w:line="240" w:lineRule="auto"/>
    </w:pPr>
    <w:rPr>
      <w:rFonts w:eastAsia="方正仿宋_GBK"/>
      <w:b w:val="0"/>
      <w:sz w:val="21"/>
      <w:szCs w:val="21"/>
    </w:rPr>
  </w:style>
  <w:style w:type="paragraph" w:customStyle="1" w:styleId="30">
    <w:name w:val="表格标题"/>
    <w:basedOn w:val="1"/>
    <w:qFormat/>
    <w:uiPriority w:val="0"/>
    <w:pPr>
      <w:autoSpaceDE w:val="0"/>
      <w:autoSpaceDN w:val="0"/>
      <w:spacing w:line="360" w:lineRule="auto"/>
      <w:jc w:val="center"/>
    </w:pPr>
    <w:rPr>
      <w:rFonts w:eastAsia="黑体"/>
      <w:b/>
      <w:bCs/>
      <w:kern w:val="0"/>
      <w:sz w:val="24"/>
    </w:rPr>
  </w:style>
  <w:style w:type="paragraph" w:customStyle="1" w:styleId="31">
    <w:name w:val="列出段落1"/>
    <w:basedOn w:val="1"/>
    <w:qFormat/>
    <w:uiPriority w:val="0"/>
    <w:pPr>
      <w:ind w:firstLine="420" w:firstLineChars="200"/>
    </w:pPr>
    <w:rPr>
      <w:rFonts w:ascii="Calibri" w:hAnsi="Calibri" w:eastAsia="宋体"/>
      <w:sz w:val="21"/>
      <w:szCs w:val="21"/>
    </w:rPr>
  </w:style>
  <w:style w:type="paragraph" w:customStyle="1" w:styleId="32">
    <w:name w:val="列出段落2"/>
    <w:basedOn w:val="1"/>
    <w:unhideWhenUsed/>
    <w:qFormat/>
    <w:uiPriority w:val="99"/>
    <w:pPr>
      <w:ind w:firstLine="420"/>
    </w:pPr>
  </w:style>
  <w:style w:type="paragraph" w:customStyle="1" w:styleId="33">
    <w:name w:val="表内"/>
    <w:basedOn w:val="1"/>
    <w:qFormat/>
    <w:uiPriority w:val="99"/>
    <w:pPr>
      <w:spacing w:line="240" w:lineRule="atLeast"/>
      <w:jc w:val="center"/>
    </w:pPr>
    <w:rPr>
      <w:rFonts w:ascii="Calibri" w:hAnsi="Calibri" w:eastAsia="宋体" w:cs="Calibri"/>
      <w:sz w:val="24"/>
    </w:rPr>
  </w:style>
  <w:style w:type="paragraph" w:customStyle="1" w:styleId="34">
    <w:name w:val="Char1"/>
    <w:basedOn w:val="1"/>
    <w:qFormat/>
    <w:uiPriority w:val="0"/>
    <w:pPr>
      <w:tabs>
        <w:tab w:val="left" w:pos="1352"/>
      </w:tabs>
      <w:ind w:left="1352" w:hanging="720"/>
    </w:pPr>
    <w:rPr>
      <w:rFonts w:eastAsia="宋体"/>
      <w:sz w:val="24"/>
    </w:rPr>
  </w:style>
  <w:style w:type="paragraph" w:customStyle="1" w:styleId="35">
    <w:name w:val="Char2"/>
    <w:basedOn w:val="1"/>
    <w:qFormat/>
    <w:uiPriority w:val="0"/>
    <w:pPr>
      <w:widowControl/>
      <w:spacing w:after="160" w:line="240" w:lineRule="exact"/>
      <w:jc w:val="left"/>
    </w:pPr>
    <w:rPr>
      <w:rFonts w:ascii="Calibri" w:hAnsi="Calibri" w:eastAsia="宋体"/>
      <w:sz w:val="21"/>
      <w:szCs w:val="22"/>
    </w:rPr>
  </w:style>
  <w:style w:type="paragraph" w:customStyle="1" w:styleId="36">
    <w:name w:val="Char Char15"/>
    <w:basedOn w:val="1"/>
    <w:qFormat/>
    <w:uiPriority w:val="0"/>
    <w:pPr>
      <w:widowControl/>
      <w:spacing w:after="160" w:line="240" w:lineRule="exact"/>
      <w:jc w:val="left"/>
    </w:pPr>
    <w:rPr>
      <w:rFonts w:ascii="Verdana" w:hAnsi="Verdana"/>
      <w:kern w:val="0"/>
      <w:sz w:val="24"/>
      <w:szCs w:val="20"/>
      <w:lang w:eastAsia="en-US"/>
    </w:rPr>
  </w:style>
  <w:style w:type="paragraph" w:customStyle="1" w:styleId="37">
    <w:name w:val="引用1"/>
    <w:basedOn w:val="1"/>
    <w:next w:val="1"/>
    <w:qFormat/>
    <w:uiPriority w:val="0"/>
    <w:pPr>
      <w:overflowPunct w:val="0"/>
      <w:spacing w:line="594" w:lineRule="exact"/>
      <w:ind w:firstLine="200" w:firstLineChars="200"/>
    </w:pPr>
    <w:rPr>
      <w:rFonts w:ascii="Calibri" w:hAnsi="Calibri" w:eastAsia="方正仿宋_GBK"/>
      <w:color w:val="000000"/>
      <w:szCs w:val="32"/>
    </w:rPr>
  </w:style>
  <w:style w:type="character" w:customStyle="1" w:styleId="38">
    <w:name w:val="页眉 Char"/>
    <w:basedOn w:val="20"/>
    <w:link w:val="13"/>
    <w:qFormat/>
    <w:uiPriority w:val="99"/>
    <w:rPr>
      <w:sz w:val="18"/>
      <w:szCs w:val="18"/>
    </w:rPr>
  </w:style>
  <w:style w:type="character" w:customStyle="1" w:styleId="39">
    <w:name w:val="页脚 Char"/>
    <w:basedOn w:val="20"/>
    <w:link w:val="12"/>
    <w:qFormat/>
    <w:uiPriority w:val="0"/>
    <w:rPr>
      <w:sz w:val="18"/>
      <w:szCs w:val="18"/>
    </w:rPr>
  </w:style>
  <w:style w:type="character" w:customStyle="1" w:styleId="40">
    <w:name w:val="标题 1 Char"/>
    <w:basedOn w:val="20"/>
    <w:link w:val="2"/>
    <w:qFormat/>
    <w:uiPriority w:val="0"/>
    <w:rPr>
      <w:rFonts w:ascii="Times New Roman" w:hAnsi="Times New Roman" w:eastAsia="仿宋_GB2312" w:cs="Times New Roman"/>
      <w:b/>
      <w:bCs/>
      <w:kern w:val="44"/>
      <w:sz w:val="36"/>
      <w:szCs w:val="44"/>
    </w:rPr>
  </w:style>
  <w:style w:type="character" w:customStyle="1" w:styleId="41">
    <w:name w:val="标题 2 Char"/>
    <w:basedOn w:val="20"/>
    <w:link w:val="3"/>
    <w:qFormat/>
    <w:uiPriority w:val="0"/>
    <w:rPr>
      <w:rFonts w:ascii="等线 Light" w:hAnsi="等线 Light" w:eastAsia="等线 Light" w:cs="Times New Roman"/>
      <w:b/>
      <w:bCs/>
      <w:sz w:val="32"/>
      <w:szCs w:val="32"/>
    </w:rPr>
  </w:style>
  <w:style w:type="character" w:customStyle="1" w:styleId="42">
    <w:name w:val="标题 3 Char"/>
    <w:basedOn w:val="20"/>
    <w:link w:val="4"/>
    <w:qFormat/>
    <w:uiPriority w:val="0"/>
    <w:rPr>
      <w:rFonts w:ascii="Times New Roman" w:hAnsi="Times New Roman" w:eastAsia="仿宋_GB2312" w:cs="Times New Roman"/>
      <w:b/>
      <w:bCs/>
      <w:sz w:val="32"/>
      <w:szCs w:val="32"/>
    </w:rPr>
  </w:style>
  <w:style w:type="character" w:customStyle="1" w:styleId="43">
    <w:name w:val="标题 4 Char"/>
    <w:basedOn w:val="20"/>
    <w:link w:val="5"/>
    <w:qFormat/>
    <w:uiPriority w:val="0"/>
    <w:rPr>
      <w:rFonts w:ascii="等线 Light" w:hAnsi="等线 Light" w:eastAsia="等线 Light" w:cs="Times New Roman"/>
      <w:sz w:val="28"/>
      <w:szCs w:val="28"/>
    </w:rPr>
  </w:style>
  <w:style w:type="character" w:customStyle="1" w:styleId="44">
    <w:name w:val="文档结构图 Char"/>
    <w:link w:val="7"/>
    <w:qFormat/>
    <w:uiPriority w:val="0"/>
    <w:rPr>
      <w:rFonts w:ascii="宋体"/>
      <w:sz w:val="18"/>
      <w:szCs w:val="18"/>
    </w:rPr>
  </w:style>
  <w:style w:type="character" w:customStyle="1" w:styleId="45">
    <w:name w:val="批注框文本 Char"/>
    <w:link w:val="11"/>
    <w:qFormat/>
    <w:uiPriority w:val="0"/>
    <w:rPr>
      <w:rFonts w:eastAsia="仿宋_GB2312"/>
      <w:sz w:val="18"/>
      <w:szCs w:val="18"/>
    </w:rPr>
  </w:style>
  <w:style w:type="character" w:customStyle="1" w:styleId="46">
    <w:name w:val="15"/>
    <w:qFormat/>
    <w:uiPriority w:val="0"/>
    <w:rPr>
      <w:rFonts w:hint="eastAsia" w:ascii="方正仿宋_GBK" w:eastAsia="方正仿宋_GBK"/>
      <w:color w:val="000000"/>
      <w:sz w:val="22"/>
      <w:szCs w:val="22"/>
    </w:rPr>
  </w:style>
  <w:style w:type="character" w:customStyle="1" w:styleId="47">
    <w:name w:val="文档结构图 Char1"/>
    <w:basedOn w:val="20"/>
    <w:semiHidden/>
    <w:qFormat/>
    <w:uiPriority w:val="99"/>
    <w:rPr>
      <w:rFonts w:ascii="宋体" w:hAnsi="Times New Roman" w:eastAsia="宋体" w:cs="Times New Roman"/>
      <w:sz w:val="18"/>
      <w:szCs w:val="18"/>
    </w:rPr>
  </w:style>
  <w:style w:type="character" w:customStyle="1" w:styleId="48">
    <w:name w:val="正文文本 Char"/>
    <w:basedOn w:val="20"/>
    <w:link w:val="9"/>
    <w:qFormat/>
    <w:uiPriority w:val="0"/>
    <w:rPr>
      <w:rFonts w:ascii="Times New Roman" w:hAnsi="Times New Roman" w:eastAsia="仿宋_GB2312" w:cs="Times New Roman"/>
      <w:b/>
      <w:sz w:val="32"/>
      <w:szCs w:val="28"/>
    </w:rPr>
  </w:style>
  <w:style w:type="character" w:customStyle="1" w:styleId="49">
    <w:name w:val="批注框文本 Char1"/>
    <w:basedOn w:val="20"/>
    <w:semiHidden/>
    <w:qFormat/>
    <w:uiPriority w:val="99"/>
    <w:rPr>
      <w:rFonts w:ascii="Times New Roman" w:hAnsi="Times New Roman" w:eastAsia="仿宋_GB2312" w:cs="Times New Roman"/>
      <w:sz w:val="18"/>
      <w:szCs w:val="18"/>
    </w:rPr>
  </w:style>
  <w:style w:type="character" w:customStyle="1" w:styleId="50">
    <w:name w:val="批注文字 Char"/>
    <w:basedOn w:val="20"/>
    <w:link w:val="8"/>
    <w:semiHidden/>
    <w:qFormat/>
    <w:uiPriority w:val="99"/>
    <w:rPr>
      <w:rFonts w:ascii="Times New Roman" w:hAnsi="Times New Roman" w:eastAsia="仿宋_GB2312" w:cs="Times New Roman"/>
      <w:sz w:val="32"/>
      <w:szCs w:val="24"/>
    </w:rPr>
  </w:style>
  <w:style w:type="character" w:customStyle="1" w:styleId="51">
    <w:name w:val="批注主题 Char"/>
    <w:basedOn w:val="50"/>
    <w:link w:val="17"/>
    <w:semiHidden/>
    <w:qFormat/>
    <w:uiPriority w:val="99"/>
    <w:rPr>
      <w:rFonts w:ascii="Times New Roman" w:hAnsi="Times New Roman" w:eastAsia="仿宋_GB2312" w:cs="Times New Roman"/>
      <w:b/>
      <w:bCs/>
      <w:sz w:val="32"/>
      <w:szCs w:val="24"/>
    </w:rPr>
  </w:style>
  <w:style w:type="character" w:customStyle="1" w:styleId="52">
    <w:name w:val="font171"/>
    <w:basedOn w:val="20"/>
    <w:qFormat/>
    <w:uiPriority w:val="0"/>
    <w:rPr>
      <w:rFonts w:hint="eastAsia" w:ascii="方正仿宋_GBK" w:hAnsi="方正仿宋_GBK" w:eastAsia="方正仿宋_GBK" w:cs="方正仿宋_GBK"/>
      <w:color w:val="000000"/>
      <w:sz w:val="22"/>
      <w:szCs w:val="22"/>
      <w:u w:val="none"/>
    </w:rPr>
  </w:style>
  <w:style w:type="character" w:customStyle="1" w:styleId="53">
    <w:name w:val="font212"/>
    <w:basedOn w:val="20"/>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2.xml"/><Relationship Id="rId18" Type="http://schemas.openxmlformats.org/officeDocument/2006/relationships/footer" Target="footer11.xml"/><Relationship Id="rId17" Type="http://schemas.openxmlformats.org/officeDocument/2006/relationships/footer" Target="footer10.xml"/><Relationship Id="rId16" Type="http://schemas.openxmlformats.org/officeDocument/2006/relationships/header" Target="header5.xml"/><Relationship Id="rId15" Type="http://schemas.openxmlformats.org/officeDocument/2006/relationships/header" Target="header4.xml"/><Relationship Id="rId14" Type="http://schemas.openxmlformats.org/officeDocument/2006/relationships/header" Target="header3.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8"/>
    <customShpInfo spid="_x0000_s1029"/>
    <customShpInfo spid="_x0000_s1030"/>
    <customShpInfo spid="_x0000_s1031"/>
    <customShpInfo spid="_x0000_s1032"/>
    <customShpInfo spid="_x0000_s1033"/>
    <customShpInfo spid="_x0000_s1034"/>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3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46</Pages>
  <Words>18123</Words>
  <Characters>19030</Characters>
  <Lines>163</Lines>
  <Paragraphs>46</Paragraphs>
  <TotalTime>0</TotalTime>
  <ScaleCrop>false</ScaleCrop>
  <LinksUpToDate>false</LinksUpToDate>
  <CharactersWithSpaces>19099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2022-10-05T08:36:00Z</dcterms:created>
  <dc:creator>HP</dc:creator>
  <cp:lastModifiedBy>付饶</cp:lastModifiedBy>
  <cp:lastPrinted>2023-02-08T07:08:00Z</cp:lastPrinted>
  <dcterms:modified xsi:type="dcterms:W3CDTF">2023-05-15T06:48:28Z</dcterms:modified>
  <dc:title>重庆市长寿区打赢蓝天保卫战</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D8B807DEEBCB4BEE8B86BBE85850207E_12</vt:lpwstr>
  </property>
</Properties>
</file>