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516"/>
        <w:rPr>
          <w:rFonts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bookmarkStart w:id="0" w:name="_GoBack"/>
      <w:bookmarkEnd w:id="0"/>
      <w:r>
        <w:rPr>
          <w:rFonts w:ascii="方正仿宋_GBK" w:hAnsi="方正仿宋_GBK" w:eastAsia="方正仿宋_GBK" w:cs="方正仿宋_GBK"/>
          <w:i w:val="0"/>
          <w:caps w:val="0"/>
          <w:color w:val="000000"/>
          <w:spacing w:val="0"/>
          <w:sz w:val="25"/>
          <w:szCs w:val="25"/>
        </w:rPr>
        <w:t>前三季度GDP总量697.6亿元、增长7.6%，规上工业增加值增长9.2%，固定资产投资增长10.8%。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516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ascii="方正黑体_GBK" w:hAnsi="方正黑体_GBK" w:eastAsia="方正黑体_GBK" w:cs="方正黑体_GBK"/>
          <w:i w:val="0"/>
          <w:caps w:val="0"/>
          <w:color w:val="000000"/>
          <w:spacing w:val="0"/>
          <w:sz w:val="25"/>
          <w:szCs w:val="25"/>
        </w:rPr>
        <w:t>一、农业生产稳定。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5"/>
          <w:szCs w:val="25"/>
        </w:rPr>
        <w:t>实现农业增加值47.8亿元，增长4.4%，蔬菜、水果、禽蛋产量分别增长4.4%、6.4%、9.4%，生猪、家禽出栏分别增长4.1%、6.8%。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516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25"/>
          <w:szCs w:val="25"/>
        </w:rPr>
        <w:t>二、二产增长较快。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5"/>
          <w:szCs w:val="25"/>
        </w:rPr>
        <w:t>第二产业增加值426.6亿元，增长8.8%，其中，建筑业增加值增长9.6%，增速比上半年提高0.6个百分点。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516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25"/>
          <w:szCs w:val="25"/>
        </w:rPr>
        <w:t>三、三产增长向好。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5"/>
          <w:szCs w:val="25"/>
        </w:rPr>
        <w:t>第三产业增加值223.2亿元，增长6.3%，其中，交通运输业、批发业增长、其他服务业速度明显加快，增加值分别增长9.9%、8.2%、5.2%。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516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25"/>
          <w:szCs w:val="25"/>
        </w:rPr>
        <w:t>四、投资、消费需求稳步扩大。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5"/>
          <w:szCs w:val="25"/>
        </w:rPr>
        <w:t>固定资产投资增长10.8%，增速较上半年提高2.7个百分点，其中，工业投资增长11.4%，基础设施投资增长9%。社会消费零售总额227.3亿元，增长8.8%。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516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25"/>
          <w:szCs w:val="25"/>
        </w:rPr>
        <w:t>五、新动能新产业发展向好。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5"/>
          <w:szCs w:val="25"/>
        </w:rPr>
        <w:t>高技术产业投资持续快速增长，前三季度实现高技术产业投资增长119.6%，信息传输、软件和信息技术服务业增加值增长22%。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ascii="方正楷体_GBK" w:hAnsi="方正楷体_GBK" w:eastAsia="方正楷体_GBK" w:cs="方正楷体_GBK"/>
          <w:i w:val="0"/>
          <w:caps w:val="0"/>
          <w:color w:val="000000"/>
          <w:spacing w:val="0"/>
          <w:sz w:val="25"/>
          <w:szCs w:val="25"/>
        </w:rPr>
        <w:t>    </w:t>
      </w: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25"/>
          <w:szCs w:val="25"/>
        </w:rPr>
        <w:t>六、民生保障持续改善。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5"/>
          <w:szCs w:val="25"/>
        </w:rPr>
        <w:t>居民收入稳步提高，前三季度全体居民人均可支配收入30167元，增长4.8%，其中，城镇居民收入增长3.9%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0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ans-serif">
    <w:altName w:val="04b_21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04b_21"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Aldhabi">
    <w:panose1 w:val="01000000000000000000"/>
    <w:charset w:val="00"/>
    <w:family w:val="auto"/>
    <w:pitch w:val="default"/>
    <w:sig w:usb0="80002007" w:usb1="80000000" w:usb2="00000008" w:usb3="00000000" w:csb0="00000041" w:csb1="200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7A7AD2DA"/>
    <w:rsid w:val="F5F56F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guest</cp:lastModifiedBy>
  <dcterms:modified xsi:type="dcterms:W3CDTF">2023-12-05T10:10:16Z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